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chsn6k092526.htm"/>
      <w:bookmarkStart w:id="1" w:name="kschsn6k092526"/>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001-41663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Chanson International Holding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 830017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extraordinary general meeting of all shareholders of Chanson International Holding, an exempted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October 26, 2026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In connection with the Meeting, the Company hereby furnishes relevant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Current Report on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333-288739) filed with the SEC on July 18, 2025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333-289600) that was initially filed with the SEC on August 14, 2025 and declared effective by the SEC on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8"/>
        <w:gridCol w:w="60"/>
        <w:gridCol w:w="9147"/>
      </w:tblGrid>
      <w:tr>
        <w:trPr/>
        <w:tc>
          <w:tcPr>
            <w:tcW w:w="998"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47"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998"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9147" w:type="dxa"/>
            <w:tcBorders/>
            <w:tcMar>
              <w:bottom w:w="0" w:type="dxa"/>
            </w:tcMar>
            <w:vAlign w:val="center"/>
          </w:tcPr>
          <w:p>
            <w:pPr>
              <w:pStyle w:val="TableContents"/>
              <w:bidi w:val="0"/>
              <w:spacing w:before="0" w:after="283"/>
              <w:jc w:val="both"/>
              <w:rPr/>
            </w:pPr>
            <w:hyperlink w:anchor="chsnex99-1.htm">
              <w:r>
                <w:rPr>
                  <w:rStyle w:val="InternetLink"/>
                </w:rPr>
                <w:t>Notice and Proxy Statement of the Extraordinary General Meeting of Shareholders of the Company, dated September 28, 2026, to be mailed to all shareholders of the Company</w:t>
              </w:r>
            </w:hyperlink>
          </w:p>
        </w:tc>
      </w:tr>
      <w:tr>
        <w:trPr/>
        <w:tc>
          <w:tcPr>
            <w:tcW w:w="998" w:type="dxa"/>
            <w:tcBorders/>
            <w:tcMar>
              <w:bottom w:w="0" w:type="dxa"/>
            </w:tcMar>
            <w:vAlign w:val="center"/>
          </w:tcPr>
          <w:p>
            <w:pPr>
              <w:pStyle w:val="TableContents"/>
              <w:bidi w:val="0"/>
              <w:spacing w:before="0" w:after="283"/>
              <w:jc w:val="left"/>
              <w:rPr/>
            </w:pPr>
            <w:r>
              <w:rPr/>
              <w:t>99.2</w:t>
            </w:r>
          </w:p>
        </w:tc>
        <w:tc>
          <w:tcPr>
            <w:tcW w:w="60" w:type="dxa"/>
            <w:tcBorders/>
            <w:tcMar>
              <w:bottom w:w="0" w:type="dxa"/>
            </w:tcMar>
            <w:vAlign w:val="center"/>
          </w:tcPr>
          <w:p>
            <w:pPr>
              <w:pStyle w:val="TableContents"/>
              <w:bidi w:val="0"/>
              <w:spacing w:before="0" w:after="283"/>
              <w:jc w:val="left"/>
              <w:rPr/>
            </w:pPr>
            <w:r>
              <w:rPr/>
              <w:t> </w:t>
            </w:r>
          </w:p>
        </w:tc>
        <w:tc>
          <w:tcPr>
            <w:tcW w:w="9147" w:type="dxa"/>
            <w:tcBorders/>
            <w:tcMar>
              <w:bottom w:w="0" w:type="dxa"/>
            </w:tcMar>
            <w:vAlign w:val="center"/>
          </w:tcPr>
          <w:p>
            <w:pPr>
              <w:pStyle w:val="TableContents"/>
              <w:bidi w:val="0"/>
              <w:spacing w:before="0" w:after="283"/>
              <w:jc w:val="both"/>
              <w:rPr/>
            </w:pPr>
            <w:hyperlink w:anchor="chsnex99-2.htm">
              <w:r>
                <w:rPr>
                  <w:rStyle w:val="InternetLink"/>
                </w:rPr>
                <w:t>Form of Proxy Card to be mailed to all shareholders of the Company for use in connection with the Extraordinary General Meeting of Shareholders of the Company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2135"/>
        <w:gridCol w:w="590"/>
        <w:gridCol w:w="3095"/>
      </w:tblGrid>
      <w:tr>
        <w:trPr/>
        <w:tc>
          <w:tcPr>
            <w:tcW w:w="213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Chanson International Holding</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28,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Gang Li</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chsnex99-1.htm"/>
      <w:bookmarkStart w:id="3" w:name="kschsn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the 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CHSN)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IS HEREBY GIVEN THAT </w:t>
      </w:r>
      <w:r>
        <w:rPr>
          <w:rFonts w:ascii="Times New Roman;Times;Serif" w:hAnsi="Times New Roman;Times;Serif"/>
          <w:b w:val="false"/>
          <w:i w:val="false"/>
          <w:caps w:val="false"/>
          <w:smallCaps w:val="false"/>
          <w:sz w:val="20"/>
        </w:rPr>
        <w:t>an extraordinary general meeting of shareholders (the “EGM”) of Chanson International Holding (the “Company”) will be held on October 26, 2026 at 9:30 a.m., Eastern Time, and at any adjournment thereof. The EGM will be held in a hybrid format. In-person participants will be able to attend at B9 Xinjiang Chuangbo Zhigu Industrial Park, No. 100 Guangyuan Road, Shuimogou District, Urumqi, Xinjiang, China 830017. Remote participants, if any, will be able to attend through https://loeb.zoom.us/j/99294018609.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EGM is for shareholders to consider and, if thought fit, pass the following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with immediate effect subject to the passing of the special resolution set out in Proposal No. 2 (Share Capital Reduction and Reorganisation), that the authorised share capital of the Company be increased from US$412,500 divided into 41,100,000 Class A ordinary shares of US$0.01 par value each and 150,000 Class B ordinary shares of US$0.01 par value each to US$412,500,000,000 divided into 41,100,000,000,000 Class A ordinary shares of US$0.01 par value each and 150,000,000,000 Class B ordinary shares of US$0.01 par value each by the creation of 41,099,958,900,000 Class A ordinary shares of US$0.01 par value each and 149,999,850,000 Class B ordinary shares of US$0.01 par value each (the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the Share Capital Increase being effected and all further requirements prescribed by sections 14A and 14B of the Companies Act (Revised) relating to share capital reductions being complied with, the authorised share capital of the Company be reduced and reorganized from US$412,500,000,000 divided into 41,100,000,000,000 Class A ordinary shares of US$0.01 par value each and 150,000,000,000 Class B ordinary shares of US$0.01 par value each to US$41,250 divided into 41,100,000,000,000 Class A ordinary shares of US$0.000000001 par value each and 150,000,000,000 Class B ordinary shares of US$0.000000001 par value each by the taking of the following steps (together, the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the par value of each issued and outstanding Class A ordinary share of par value US$0.01 and Class B ordinary share of par value US$0.01 in the share capital of the Company being reduced to US$0.000000001 by cancelling US$0.009999999 of the paid-up capital on each issued and outstanding Class A ordinary share of par value US$0.01 and Class B ordinary share of par value US$0.01 (the “Capital Reduction”), with the amount deemed to be paid up on each issued and outstanding share of the Company to be US$0.000000001 following the Capital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the credit arising from the Capital Reduction being transferred to a distributable reserve account of the Company which may be utilised by the Company as the board of directors of the Company may deem fit and as permitted under the Companies Act (Revised), the Company’s memorandum and articles of association, and all relevant applicable laws, including, without limitation, eliminating or setting off any accumulated losses of the Company (if any)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immediately following the Capital Reduction, each authorised but unissued Class A ordinary share of par value US$0.01 being subdivided into 10,000,000 Class A ordinary shares of par value US$0.000000001 each and each authorised but unissued Class B ordinary share of par value US$0.01 being subdivided into 10,000,000 Class B ordinary shares of par value US$0.000000001 each (together, the “Subdivision”);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immediately following the Subdivision, the authorised share capital of the Company being altered by the cancellation of such number of unissued Class A ordinary shares of par value US$0.000000001 each and unissued Class B ordinary shares of par value US$0.000000001 each that will result in the Company having authorised share capital of US$41,250 divided into 41,100,000,000,000 Class A ordinary shares of US$0.000000001 par value each and 150,000,000,000 Class B ordinary shares of US$0.000000001 par value each (the “Cancellation”).”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 Adoption of A&amp;R M&amp;A (Capital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and immediately following the Share Capital Reduction and Reorganisation being effected, the Company adopt amended and restated memorandum and articles of association, in the form of Appendix A attached to the Notice and Proxy Statement delivered to shareholders and dated September 28, 2026, in substitution for, and to the exclusion of, the Company’s existing memorandum and articles of association, to reflect the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with effect 10 clear days after the effectiveness of the Share Capital Reduction and Reorganisation or such later date as approved by The Nasdaq Stock Market LLC,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the authorised, issued and outstanding shares of the Company (collectively, the “Shares”) be consolidated and divided by consolidating (i) every 100 Class A ordinary shares with a par value of US$0.000000001 each into one Class A ordinary share with a par value of US$0.0000001 and (ii) every 100 Class B ordinary shares with a par value of US$0.000000001 each into one Class B ordinary share with a par value of US$0.0000001, with such consolidated Shares having the same rights and being subject to the same restrictions (save as to par value) as the existing Shares of such class as set out in the Company’s memorandum and articles of association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as a result of the Share Consolidation, the authorised share capital of the Company be amended from US$41,250 divided into 41,100,000,000,000 Class A ordinary shares of US$0.000000001 par value each and 150,000,000,000 Class B ordinary shares of US$0.000000001 par value each to US$41,250 divided into 411,000,000,000 Class A ordinary shares of US$0.0000001 par value each and 1,500,000,000 Class B ordinary shares of US$0.0000001 par value each;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 — Adoption of A&amp;R M&amp;A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and immediately following the Share Consolidation being effected, the Company adopt amended and restated memorandum and articles of association, in the form of Appendix B attached to the Notice and Proxy Statement delivered to shareholders and dated September 28, 2026, in substitution for, and to the exclusion of, the Company’s existing memorandum and articles of association, to reflect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6 — Adjournment of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to adjourn the general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that you vote “FOR” each of the foregoing proposals. The proposals are described in more detail in the accompanying Proxy Statement, which forms part of this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close of business on September 28, 2026 as the record date (the “Record Date”) for determining the shareholders entitled to notice of, and to vote at, the EGM. Holders of the Company’s ordinary shares of record as of the Record Date (the “Eligible Shareholders”) are entitled to receive notice of and to vote at the EGM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expect to attend the EGM, please complete, sign, date and return the accompanying proxy form in accordance with the instructions included with the Proxy Statement so that it is received no later than 9:30 a.m., Eastern Time, on October 26, 2026. A shareholder may revoke a proxy at any time before it is exercised by following the procedures described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shareholder who is entitled to attend and vote at the EGM is entitled to appoint one or more proxies to attend and vote instead of that shareholder. A proxy need not be a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and Proxy Statement are expected to be mailed or made available to Eligible Shareholders on or about September 28, 2026.</w:t>
      </w:r>
    </w:p>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25"/>
        <w:gridCol w:w="3380"/>
        <w:gridCol w:w="75"/>
      </w:tblGrid>
      <w:tr>
        <w:trPr/>
        <w:tc>
          <w:tcPr>
            <w:tcW w:w="4105" w:type="dxa"/>
            <w:gridSpan w:val="2"/>
            <w:tcBorders/>
            <w:vAlign w:val="center"/>
          </w:tcPr>
          <w:p>
            <w:pPr>
              <w:pStyle w:val="TableContents"/>
              <w:bidi w:val="0"/>
              <w:spacing w:before="0" w:after="283"/>
              <w:jc w:val="left"/>
              <w:rPr/>
            </w:pPr>
            <w:r>
              <w:rPr/>
              <w:t>By Order of the Board of Directors</w:t>
            </w:r>
          </w:p>
        </w:tc>
        <w:tc>
          <w:tcPr>
            <w:tcW w:w="75" w:type="dxa"/>
            <w:tcBorders/>
            <w:vAlign w:val="center"/>
          </w:tcPr>
          <w:p>
            <w:pPr>
              <w:pStyle w:val="TableContents"/>
              <w:bidi w:val="0"/>
              <w:spacing w:before="0" w:after="283"/>
              <w:jc w:val="left"/>
              <w:rPr/>
            </w:pPr>
            <w:r>
              <w:rPr/>
              <w:t> </w:t>
            </w:r>
          </w:p>
        </w:tc>
      </w:tr>
      <w:tr>
        <w:trPr/>
        <w:tc>
          <w:tcPr>
            <w:tcW w:w="41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3380" w:type="dxa"/>
            <w:tcBorders>
              <w:bottom w:val="single" w:sz="8" w:space="0" w:color="000000"/>
            </w:tcBorders>
            <w:tcMar>
              <w:bottom w:w="28" w:type="dxa"/>
            </w:tcMar>
            <w:vAlign w:val="center"/>
          </w:tcPr>
          <w:p>
            <w:pPr>
              <w:pStyle w:val="TableContents"/>
              <w:bidi w:val="0"/>
              <w:spacing w:before="0" w:after="283"/>
              <w:jc w:val="left"/>
              <w:rPr/>
            </w:pPr>
            <w:r>
              <w:rPr/>
              <w:t>/s/ Gang Li</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3380" w:type="dxa"/>
            <w:tcBorders/>
            <w:vAlign w:val="center"/>
          </w:tcPr>
          <w:p>
            <w:pPr>
              <w:pStyle w:val="TableContents"/>
              <w:bidi w:val="0"/>
              <w:spacing w:before="0" w:after="283"/>
              <w:jc w:val="left"/>
              <w:rPr/>
            </w:pPr>
            <w:r>
              <w:rPr/>
              <w:t>Gang Li</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3380" w:type="dxa"/>
            <w:tcBorders/>
            <w:vAlign w:val="center"/>
          </w:tcPr>
          <w:p>
            <w:pPr>
              <w:pStyle w:val="TableContents"/>
              <w:bidi w:val="0"/>
              <w:spacing w:before="0" w:after="283"/>
              <w:jc w:val="left"/>
              <w:rPr/>
            </w:pPr>
            <w:r>
              <w:rPr/>
              <w:t>Chairman of the Board of Directors</w:t>
            </w:r>
          </w:p>
        </w:tc>
        <w:tc>
          <w:tcPr>
            <w:tcW w:w="75" w:type="dxa"/>
            <w:tcBorders/>
            <w:vAlign w:val="center"/>
          </w:tcPr>
          <w:p>
            <w:pPr>
              <w:pStyle w:val="TableContents"/>
              <w:bidi w:val="0"/>
              <w:spacing w:before="0" w:after="283"/>
              <w:jc w:val="left"/>
              <w:rPr/>
            </w:pPr>
            <w:r>
              <w:rPr/>
              <w:t> </w:t>
            </w:r>
          </w:p>
        </w:tc>
      </w:tr>
      <w:tr>
        <w:trPr/>
        <w:tc>
          <w:tcPr>
            <w:tcW w:w="4105" w:type="dxa"/>
            <w:gridSpan w:val="2"/>
            <w:tcBorders/>
            <w:vAlign w:val="center"/>
          </w:tcPr>
          <w:p>
            <w:pPr>
              <w:pStyle w:val="TableContents"/>
              <w:bidi w:val="0"/>
              <w:spacing w:before="0" w:after="283"/>
              <w:jc w:val="left"/>
              <w:rPr/>
            </w:pPr>
            <w:r>
              <w:rPr/>
              <w:t>Date: September 28,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26,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 a.m.,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is furnished in connection with the solicitation of proxies by </w:t>
      </w:r>
      <w:r>
        <w:rPr>
          <w:rFonts w:ascii="Times New Roman;Times;Serif" w:hAnsi="Times New Roman;Times;Serif"/>
          <w:b/>
          <w:i w:val="false"/>
          <w:caps w:val="false"/>
          <w:smallCaps w:val="false"/>
          <w:sz w:val="20"/>
        </w:rPr>
        <w:t>the board of directors (the “Board”)</w:t>
      </w:r>
      <w:r>
        <w:rPr>
          <w:rFonts w:ascii="Times New Roman;Times;Serif" w:hAnsi="Times New Roman;Times;Serif"/>
          <w:b w:val="false"/>
          <w:i w:val="false"/>
          <w:caps w:val="false"/>
          <w:smallCaps w:val="false"/>
          <w:sz w:val="20"/>
        </w:rPr>
        <w:t xml:space="preserve"> of Chanson International Holding (the “Company”) for use at the extraordinary general meeting of shareholders of the Company (the “EGM”) to be held on October 26, 2026 at 9:30 a.m., Eastern Time, and at any adjournment thereof. The EGM will be held in a hybrid format. In-person participants, if any, will be able to attend at B9 Xinjiang Chuangbo Zhigu Industrial Park, No. 100 Guangyuan Road, Shuimogou District, Urumqi, Xinjiang, China 830017. Remote participants, if any, will be able to attend through https://loeb.zoom.us/j/99294018609.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Eligible Shareholders will be asked to consider and vote on the six proposals described in this Proxy Statement. The Company will bear the cost of soliciting proxies. The Notice of Extraordinary General Meeting and this Proxy Statement are being mailed or made available to Eligible Shareholders on or about 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in this Proxy Statement have the meanings assigned to them in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The close of business on 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Date and Time: October 26, 2026 at 9:30 a.m.,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Format and Location: The EGM will be held in a hybrid format. In-person participants will be able to attend at B9 Xinjiang Chuangbo Zhigu Industrial Park, No. 100 Guangyuan Road, Shuimogou District, Urumqi, Xinjiang, China 830017. Remote participants, if any, will be able to attend through https://loeb.zoom.us/j/99294018609.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Company’s ordinary shares of record as of the close of business on the Record Date are entitled to notice of and to vote at the EGM or any adjournment thereof. Each proposal will be decided at the Meeting by way of poll. Shareholders of record will be entitled to cast one vote for each Class A ordinary share held on the record date and 80 votes for each Class B ordinary share held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TO BE VOTED ON</w:t>
      </w:r>
    </w:p>
    <w:p>
      <w:pPr>
        <w:pStyle w:val="TextBody"/>
        <w:bidi w:val="0"/>
        <w:spacing w:before="0" w:after="0"/>
        <w:ind w:left="403" w:right="0" w:hanging="288"/>
        <w:jc w:val="both"/>
        <w:rPr>
          <w:caps w:val="false"/>
          <w:smallCaps w:val="false"/>
        </w:rPr>
      </w:pPr>
      <w:r>
        <w:rPr>
          <w:caps w:val="false"/>
          <w:smallCaps w:val="false"/>
        </w:rPr>
        <w:t> </w:t>
      </w:r>
    </w:p>
    <w:p>
      <w:pPr>
        <w:pStyle w:val="TextBody"/>
        <w:bidi w:val="0"/>
        <w:spacing w:before="0" w:after="0"/>
        <w:ind w:left="403" w:right="0" w:hanging="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 Share Capital Increase (Ordinary Resolution).</w:t>
      </w:r>
    </w:p>
    <w:p>
      <w:pPr>
        <w:pStyle w:val="TextBody"/>
        <w:bidi w:val="0"/>
        <w:spacing w:before="0" w:after="0"/>
        <w:ind w:left="403" w:right="0" w:hanging="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Share Capital Reduction and Reorganisation (Special Resolution).</w:t>
      </w:r>
    </w:p>
    <w:p>
      <w:pPr>
        <w:pStyle w:val="TextBody"/>
        <w:bidi w:val="0"/>
        <w:spacing w:before="0" w:after="0"/>
        <w:ind w:left="403" w:right="0" w:hanging="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Adoption of A&amp;R M&amp;A (Capital Reduction) (Special Resolution).</w:t>
      </w:r>
    </w:p>
    <w:p>
      <w:pPr>
        <w:pStyle w:val="TextBody"/>
        <w:bidi w:val="0"/>
        <w:spacing w:before="0" w:after="0"/>
        <w:ind w:left="403" w:right="0" w:hanging="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Share Consolidation (Ordinary Resolution).</w:t>
      </w:r>
    </w:p>
    <w:p>
      <w:pPr>
        <w:pStyle w:val="TextBody"/>
        <w:bidi w:val="0"/>
        <w:spacing w:before="0" w:after="0"/>
        <w:ind w:left="403" w:right="0" w:hanging="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Adoption of A&amp;R M&amp;A (Share Consolidation) (Special Resolution).</w:t>
      </w:r>
    </w:p>
    <w:p>
      <w:pPr>
        <w:pStyle w:val="TextBody"/>
        <w:bidi w:val="0"/>
        <w:spacing w:before="0" w:after="0"/>
        <w:ind w:left="403" w:right="0" w:hanging="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Adjournment of the EGM (Ordinary Resolution).</w:t>
      </w:r>
    </w:p>
    <w:p>
      <w:pPr>
        <w:pStyle w:val="TextBody"/>
        <w:bidi w:val="0"/>
        <w:spacing w:before="0" w:after="0"/>
        <w:ind w:left="403" w:right="0" w:hanging="28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Eligible Shareholders vote “FOR”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entitled to attend and vote at the EGM may vote in person (including through the remote meeting facilities described above) or by appointing one or more proxies to attend and vote instead of that shareholder. A shareholder who wishes to appoint a proxy should complete, sign and return the accompanying proxy form in accordance with its instructions so that it is received no later than 9:30 a.m., Eastern Time, on October 26, 2026. Any proxy form not received by that time will be invalid. A proxy need not be a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by proxy, of one or more shareholders holding shares that represent not less than one-third of the outstanding shares carrying the right to vote at the EGM constitutes a quorum. If a quorum is not present within fifteen minutes of the time appointed for the EGM, or if at any time during the EGM it becomes inquorate, the EGM shall stand adjourned in accordance with the Company’s memorandum and articles of association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Nos. 1, 4 and 6 are ordinary resolutions and each requires the affirmative vote of a simple majority of the votes cast by shareholders entitled to vote and voting at the EGM in person or by proxy. Proposal Nos. 2, 3 and 5 are special resolutions and each requires the affirmative vote of not less than two-thirds of the votes cast by shareholders entitled to vote and voting at the EGM in person or by proxy. Abstentions and broker non-votes are counted for purposes of determining whether a quorum is present but are not treated as votes cast on the applicable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revoke the appointment of a proxy at any time before it is exercised by delivering a written notice of revocation to the Company, submitting a later-dated proxy, or attending and voting at the EGM. Attendance at the EGM alone will not revoke a proxy. If a proxy form is properly executed and returned without specific voting instructions, the proxy will be entitled to vote or abstain at his or her discretion on each proposal. If the chairman of the EGM is appointed as proxy, the chairman intends to vote “FOR”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through a broker, bank or other nominee, you are a beneficial owner and must follow the instructions provided by that nominee in order to vote. Beneficial owners who wish to attend and vote at the EGM may need to obtain a legal proxy from their broker, bank or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Marketplace Rules of Nasdaq Stock Market, which permit companies to make available their annual reports to shareholders on or through the Company’s website, the Company posts its annual reports on the Company’s website. The annual report for the fiscal year ended December 31, 2025 on Form 20-F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has been filed with the U.S. Securities and Exchange Commission. The Company adopted this practice to avoid the considerable expense associated with mailing physical copies of such report to record holders. You may obtain a copy of the Company’s 2025 Annual Report to shareholders by visiting the Company’s website at https://ir.chanson-international.net. If you want to receive a paper or email copy of the Company’s 2025 Annual Report to shareholders, you must request one. There is no charge to you for requesting a copy. Please make your request for a copy to the Investor Relations of the Company, available at https://ir.chanson-international.net.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Eligible Shareholders vote “FOR” Proposal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Conditional upon, and with effect immediately upon, the passing of Proposal No. 2, the Board is asking Eligible Shareholders to approve an increase in the Company’s authorised share capital from US$412,500 divided into 41,100,000 Class A ordinary shares of US$0.01 par value each and 150,000 Class B ordinary shares of US$0.01 par value each to US$412,500,000,000 divided into 41,100,000,000,000 Class A ordinary shares of US$0.01 par value each and 150,000,000,000 Class B ordinary shares of US$0.01 par value each through the creation of additional Class A ordinary shares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2 is not passed, the Share Capital Increase will not take effect and the Company’s authorised share capital will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proposed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with immediate effect subject to the passing of the special resolution set out in Proposal No. 2 (Share Capital Reduction and Reorganisation), that the authorised share capital of the Company be increased from US$412,500 divided into 41,100,000 Class A ordinary shares of US$0.01 par value each and 150,000 Class B ordinary shares of US$0.01 par value each to US$412,500,000,000 divided into 41,100,000,000,000 Class A ordinary shares of US$0.01 par value each and 150,000,000,000 Class B ordinary shares of US$0.01 par value each by the creation of 41,099,958,900,000 Class A ordinary shares of US$0.01 par value each and 149,999,850,000 Class B ordinary shares of US$0.01 par value each (the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No. 1 requires the affirmative vote of a simple majority of the votes cast by shareholders entitled to vote and voting at the EGM in person or by proxy. Abstentions and broker non-votes will not be treated as votes cast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Eligible Shareholders vote “FOR” Proposal No.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Share Capital Increase being effected and compliance with sections 14A and 14B of the Companies Act (Revised), the Board is asking Eligible Shareholders to approve a reduction and reorganisation of the Company’s share capital through the Capital Reduction, the Subdivision and the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Reduction will reduce the par value of each issued and outstanding Class A ordinary share and Class B ordinary share from US$0.01 to US$0.000000001. The credit arising from the Capital Reduction will be transferred to a distributable reserve account of the Company and may be utilised as permitted by applicable law and the Company’s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Capital Reduction, each authorised but unissued Class A ordinary share and Class B ordinary share of US$0.01 par value each will be subdivided into 10,000,000 shares of the same class with a par value of US$0.000000001 each. Certain unissued shares will then be cancelled so that the Company will have an authorised share capital of US$41,250 divided into 41,100,000,000,000 Class A ordinary shares of US$0.000000001 par value each and 150,000,000,000 Class B ordinary shares of US$0.000000001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Share Capital Reduction and Reorganisation, the directors of the Company must make a solvency statement, being a statement to the effect that a full enquiry into the Company’s affairs has been made and that, to the best of the directors’ knowledge and belief, the Company will be able to pay its debts as they fall due in the ordinary course of business commencing on the date of the statement. The directors must make the solvency statement no more than 30 days before the date on which the special resolution for reducing share capital is passed. Any director who knowingly makes a solvency statement without having reasonable grounds to believe that the Company will be able to pay its debts in full as they fall due in the ordinary course of business commits an offence under the Companies Act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15 days after the special resolution is passed, the Company must deliver to the Registrar of Companies of the Cayman Islands (the “Registrar”) (i) a copy of the solvency statement and (ii) a minute stating, with respect to the Company’s share capital as reduced, the amount of the share capital, the number of shares into which it is divided and the amount of each share, and the amount (if any) deemed to be paid up on each share. On receipt of these documents, the Registrar will register the solvency statement and the minute, issue a certificate confirming that they have been registered and publish notice of the registration in the Cayman Islands Gazette. That certificate is conclusive evidence that the requirements of the Companies Act (Revised) with respect to the reduction of share capital have been complied with and that the Company’s share capital is as stated in the minute. If these documents are not delivered within that 15-day period, the Registrar will not register them and the Company would instead need to apply to the Grand Court of the Cayman Islands for an order confirming the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Reduction and Reorganisation is conditional upon the Share Capital Increase being approved and effected. The special resolution approving the Share Capital Reduction and Reorganisation will take effect, and the reduction of share capital will become effective, only on the date on which the Registrar registers the solvency statement and the minute. Accordingly, although Eligible Shareholders will be asked to approve the Share Capital Reduction and Reorganisation at the EGM, the Share Capital Reduction and Reorganisation will take effect on the date of the Registrar’s registration of the solvency statement and minute.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proposed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the Share Capital Increase being effected and all further requirements prescribed by sections 14A and 14B of the Companies Act (Revised) relating to share capital reductions being complied with, the authorised share capital of the Company be reduced and reorganized from US$412,500,000,000 divided into 41,100,000,000,000 Class A ordinary shares of US$0.01 par value each and 150,000,000,000 Class B ordinary shares of US$0.01 par value each to US$41,250 divided into 41,100,000,000,000 Class A ordinary shares of US$0.000000001 par value each and 150,000,000,000 Class B ordinary shares of US$0.000000001 par value each by the taking of the following steps (together, the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the par value of each issued and outstanding Class A ordinary share of par value US$0.01 and Class B ordinary share of par value US$0.01 in the share capital of the Company being reduced to US$0.000000001 by cancelling US$0.009999999 of the paid-up capital on each issued and outstanding Class A ordinary share of par value US$0.01 and Class B ordinary share of par value US$0.01 (the “Capital Reduction”), with the amount deemed to be paid up on each issued and outstanding share of the Company to be US$0.000000001 following the Capital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the credit arising from the Capital Reduction being transferred to a distributable reserve account of the Company which may be utilised by the Company as the board of directors of the Company may deem fit and as permitted under the Companies Act (Revised), the Company’s memorandum and articles of association, and all relevant applicable laws, including, without limitation, eliminating or setting off any accumulated losses of the Company (if any)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immediately following the Capital Reduction, each authorised but unissued Class A ordinary share of par value US$0.01 being subdivided into 10,000,000 Class A ordinary shares of par value US$0.000000001 each and each authorised but unissued Class B ordinary share of par value US$0.01 being subdivided into 10,000,000 Class B ordinary shares of par value US$0.000000001 each (together, the “Subdivision”);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immediately following the Subdivision, the authorised share capital of the Company being altered by the cancellation of such number of unissued Class A ordinary shares of par value US$0.000000001 each and unissued Class B ordinary shares of par value US$0.000000001 each that will result in the Company having authorised share capital of US$41,250 divided into 41,100,000,000,000 Class A ordinary shares of US$0.000000001 par value each and 150,000,000,000 Class B ordinary shares of US$0.000000001 par value each (the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No. 2 requires the affirmative vote of not less than two-thirds of the votes cast by shareholders entitled to vote and voting at the EGM in person or by proxy. Abstentions and broker non-votes will not be treated as votes cast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 ADOPTION OF A&amp;R M&amp;A (CAPITAL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Eligible Shareholders vote “FOR” Proposal No.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and immediately following the Share Capital Reduction and Reorganisation being effected, the Board is asking Eligible Shareholders to approve the adoption of the amended and restated memorandum and articles of association attached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this Proxy Statement in substitution for, and to the exclusion of, the Company’s existing memorandum and articles of association. The amended and restated memorandum and articles of association will reflect the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proposed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and immediately following the Share Capital Reduction and Reorganisation being effected, the Company adopt amended and restated memorandum and articles of association, in the form attached to the Notice and Proxy Statement delivered to shareholders and dated September 28, 2026, in substitution for, and to the exclusion of, the Company’s existing memorandum and articles of association, to reflect the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No. 3 requires the affirmative vote of not less than two-thirds of the votes cast by shareholders entitled to vote and voting at the EGM in person or by proxy. Abstentions and broker non-votes will not be treated as votes cast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Eligible Shareholders vote “FOR”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Conditional upon the Share Capital Reduction and Reorganisation being effected, the Board is asking Eligible Shareholders to approve a fixed 100-for-1 consolidation of each class of the Company’s ordinary shares. If approved and implemented, every 100 Class A ordinary shares with a par value of US$0.000000001 each will become one Class A ordinary share with a par value of US$0.0000001, and every 100 Class B ordinary shares with a par value of US$0.000000001 each will become one Class B ordinary share with a par value of US$0.0000001.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shares will rank pari passu in all respects with each other and will have the same rights and restrictions as the existing shares of the same class, except for the change in par value. The Company’s authorised share capital will remain US$41,250 but will be divided into 411,000,000,000 Class A ordinary shares of US$0.0000001 par value each and 1,500,000,000 Class B ordinary shares of US$0.0000001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in connection with the Share Consolidation. Any aggregate fractional entitlement of a shareholder will be rounded up to the next whole share. Shareholders whose shares are held through a broker, bank or other nominee should contact that intermediary for information about how the Share Consolidation will be reflected in their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may affect the market price and liquidity of the Company’s ordinary shares, and there can be no assurance that it will achieve any particular result or that the market price after the Share Consolidation will be proportionate to the reduction in the number of outstanding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proposed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with effect 10 clear days after the effectiveness of the Share Capital Reduction and Reorganisation or such later date as approved by The Nasdaq Stock Market LLC,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the authorised, issued and outstanding shares of the Company (collectively, the “Shares”) be consolidated and divided by consolidating (i) every 100 Class A ordinary shares with a par value of US$0.000000001 each into one Class A ordinary share with a par value of US$0.0000001 and (ii) every 100 Class B ordinary shares with a par value of US$0.000000001 each into one Class B ordinary share with a par value of US$0.0000001, with such consolidated Shares having the same rights and being subject to the same restrictions (save as to par value) as the existing Shares of such class as set out in the Company’s memorandum and articles of association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as a result of the Share Consolidation, the authorised share capital of the Company be amended from US$41,250 divided into 41,100,000,000,000 Class A ordinary shares of US$0.000000001 par value each and 150,000,000,000 Class B ordinary shares of US$0.000000001 par value each to US$41,250 divided into 411,000,000,000 Class A ordinary shares of US$0.0000001 par value each and 1,500,000,000 Class B ordinary shares of US$0.0000001 par value each;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No. 4 requires the affirmative vote of a simple majority of the votes cast by shareholders entitled to vote and voting at the EGM in person or by proxy. Abstentions and broker non-votes will not be treated as votes cast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 — ADOPTION OF A&amp;R M&amp;A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Eligible Shareholders vote “FOR”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and immediately following the Share Consolidation being effected, the Board is asking Eligible Shareholders to approve the adoption of the amended and restated memorandum and articles of association attached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to this Proxy Statement in substitution for, and to the exclusion of, the Company’s then-existing memorandum and articles of association. The amended and restated memorandum and articles of association will reflect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proposed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and immediately following the Share Consolidation being effected, the Company adopt amended and restated memorandum and articles of association, in the form attached to the Notice and Proxy Statement delivered to shareholders and dated September 28, 2026, in substitution for, and to the exclusion of, the Company’s existing memorandum and articles of association, to reflect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No. 5 requires the affirmative vote of not less than two-thirds of the votes cast by shareholders entitled to vote and voting at the EGM in person or by proxy. Abstentions and broker non-votes will not be treated as votes cast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6 — ADJOURNMENT OF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Eligible Shareholders vote “FOR” Proposal No.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asking Eligible Shareholders to approve the adjournment of the EGM to a later date or dates or sine die if the directors determine that an adjournment is necessary or desirable to permit further solicitation and voting of proxies if there are insufficient votes at the time of the EGM to approve the foregoing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proposed resolution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to adjourn the general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No. 6 requires the affirmative vote of a simple majority of the votes cast by shareholders entitled to vote and voting at the EGM in person or by proxy. Abstentions and broker non-votes will not be treated as votes cast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matters that will be presented for consideration at the EGM. If any other matter properly comes before the EGM, the persons appointed as proxies under properly executed proxy forms may vote the shares represented by those proxy forms on that matter at their discretion.</w:t>
      </w:r>
    </w:p>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25"/>
        <w:gridCol w:w="3380"/>
        <w:gridCol w:w="75"/>
      </w:tblGrid>
      <w:tr>
        <w:trPr/>
        <w:tc>
          <w:tcPr>
            <w:tcW w:w="4105" w:type="dxa"/>
            <w:gridSpan w:val="2"/>
            <w:tcBorders/>
            <w:vAlign w:val="center"/>
          </w:tcPr>
          <w:p>
            <w:pPr>
              <w:pStyle w:val="TableContents"/>
              <w:bidi w:val="0"/>
              <w:spacing w:before="0" w:after="283"/>
              <w:jc w:val="left"/>
              <w:rPr/>
            </w:pPr>
            <w:r>
              <w:rPr/>
              <w:t>By Order of the Board of Directors</w:t>
            </w:r>
          </w:p>
        </w:tc>
        <w:tc>
          <w:tcPr>
            <w:tcW w:w="75" w:type="dxa"/>
            <w:tcBorders/>
            <w:vAlign w:val="center"/>
          </w:tcPr>
          <w:p>
            <w:pPr>
              <w:pStyle w:val="TableContents"/>
              <w:bidi w:val="0"/>
              <w:spacing w:before="0" w:after="283"/>
              <w:jc w:val="left"/>
              <w:rPr/>
            </w:pPr>
            <w:r>
              <w:rPr/>
              <w:t> </w:t>
            </w:r>
          </w:p>
        </w:tc>
      </w:tr>
      <w:tr>
        <w:trPr/>
        <w:tc>
          <w:tcPr>
            <w:tcW w:w="41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3380" w:type="dxa"/>
            <w:tcBorders>
              <w:bottom w:val="single" w:sz="8" w:space="0" w:color="000000"/>
            </w:tcBorders>
            <w:tcMar>
              <w:bottom w:w="28" w:type="dxa"/>
            </w:tcMar>
            <w:vAlign w:val="center"/>
          </w:tcPr>
          <w:p>
            <w:pPr>
              <w:pStyle w:val="TableContents"/>
              <w:bidi w:val="0"/>
              <w:spacing w:before="0" w:after="283"/>
              <w:jc w:val="left"/>
              <w:rPr/>
            </w:pPr>
            <w:r>
              <w:rPr/>
              <w:t>/s/ Gang Li</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3380" w:type="dxa"/>
            <w:tcBorders/>
            <w:vAlign w:val="center"/>
          </w:tcPr>
          <w:p>
            <w:pPr>
              <w:pStyle w:val="TableContents"/>
              <w:bidi w:val="0"/>
              <w:spacing w:before="0" w:after="283"/>
              <w:jc w:val="left"/>
              <w:rPr/>
            </w:pPr>
            <w:r>
              <w:rPr/>
              <w:t>Gang Li</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3380" w:type="dxa"/>
            <w:tcBorders/>
            <w:vAlign w:val="center"/>
          </w:tcPr>
          <w:p>
            <w:pPr>
              <w:pStyle w:val="TableContents"/>
              <w:bidi w:val="0"/>
              <w:spacing w:before="0" w:after="283"/>
              <w:jc w:val="left"/>
              <w:rPr/>
            </w:pPr>
            <w:r>
              <w:rPr/>
              <w:t>Chairman of the Board of Directors</w:t>
            </w:r>
          </w:p>
        </w:tc>
        <w:tc>
          <w:tcPr>
            <w:tcW w:w="75" w:type="dxa"/>
            <w:tcBorders/>
            <w:vAlign w:val="center"/>
          </w:tcPr>
          <w:p>
            <w:pPr>
              <w:pStyle w:val="TableContents"/>
              <w:bidi w:val="0"/>
              <w:spacing w:before="0" w:after="283"/>
              <w:jc w:val="left"/>
              <w:rPr/>
            </w:pPr>
            <w:r>
              <w:rPr/>
              <w:t> </w:t>
            </w:r>
          </w:p>
        </w:tc>
      </w:tr>
      <w:tr>
        <w:trPr/>
        <w:tc>
          <w:tcPr>
            <w:tcW w:w="4105" w:type="dxa"/>
            <w:gridSpan w:val="2"/>
            <w:tcBorders/>
            <w:vAlign w:val="center"/>
          </w:tcPr>
          <w:p>
            <w:pPr>
              <w:pStyle w:val="TableContents"/>
              <w:bidi w:val="0"/>
              <w:spacing w:before="0" w:after="283"/>
              <w:jc w:val="left"/>
              <w:rPr/>
            </w:pPr>
            <w:r>
              <w:rPr/>
              <w:t>Date: September 28,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AMENDED AND RESTATED MEMORANDUM AND ARTICLES OF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Memorandum of Association</w:t>
        <w:br/>
        <w:t>of</w:t>
        <w:br/>
        <w:t>Chanson International Holding</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p>
      <w:pPr>
        <w:pStyle w:val="TextBody"/>
        <w:bidi w:val="0"/>
        <w:spacing w:before="0" w:after="0"/>
        <w:ind w:left="0" w:right="0" w:hanging="0"/>
        <w:jc w:val="center"/>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25"/>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90" w:type="dxa"/>
            <w:tcBorders/>
            <w:vAlign w:val="center"/>
          </w:tcPr>
          <w:p>
            <w:pPr>
              <w:pStyle w:val="TableContents"/>
              <w:bidi w:val="0"/>
              <w:spacing w:before="0" w:after="283"/>
              <w:jc w:val="both"/>
              <w:rPr/>
            </w:pPr>
            <w:r>
              <w:rPr>
                <w:rFonts w:ascii="Times New Roman;Times;Serif" w:hAnsi="Times New Roman;Times;Serif"/>
                <w:sz w:val="20"/>
              </w:rPr>
              <w:t xml:space="preserve">The name of the Company is Chanson International Holding </w:t>
            </w:r>
            <w:r>
              <w:rPr>
                <w:rFonts w:eastAsia="Times New Roman;Times;Serif"/>
                <w:sz w:val="20"/>
              </w:rPr>
              <w:t>香颂国际控股公司</w:t>
            </w: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registered office will be situated at the offices of Ogier Global (Cayman) Limited, 89 Nexus Way, Camana Bay, Grand Cayman, Cayman Islands KY1-9009, or at such other place in the Cayman Islands as the directors may at any time decide.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27(2) of the Companies Act (Revised), the Company has and is capable of exercising all the functions of a natural person of full capacity irrespective of any question of corporate benefit.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of the preceding paragraphs permits the Company to carry on any of the following businesses without being duly licensed, namely: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a bank or trust company without being licensed in that behalf under the Banks and Trust Companies Act (Revised);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business from within the Cayman Islands or the business of an insurance manager, agent, sub-agent or broker without being licensed in that behalf under the Insurance Act (Revised);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company management without being licensed in that behalf under the Companies Management Act (Revised).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US$41,250 divided into 41,100,000,000,000 Class A ordinary shares of US$0.000000001 par value each and 150,000,000,000 Class B ordinary Shares of US$0.000000001 par value each. Subject to the Companies Act (Revised) and the Company’s articles of association, the Company has power to do any one or more of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4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 and</w:t>
            </w:r>
          </w:p>
        </w:tc>
      </w:tr>
    </w:tbl>
    <w:p>
      <w:pPr>
        <w:pStyle w:val="TextBody"/>
        <w:bidi w:val="0"/>
        <w:spacing w:before="0" w:after="0"/>
        <w:ind w:left="1440" w:right="0" w:hanging="72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3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2126" w:right="0" w:hanging="72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or without any preferential, deferred, qualified or special rights, privileges or conditions; or</w:t>
            </w:r>
          </w:p>
        </w:tc>
      </w:tr>
    </w:tbl>
    <w:p>
      <w:pPr>
        <w:pStyle w:val="TextBody"/>
        <w:bidi w:val="0"/>
        <w:spacing w:before="0" w:after="0"/>
        <w:ind w:left="2126" w:right="0" w:hanging="72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440" w:right="0" w:hanging="72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Articles of Association</w:t>
        <w:br/>
        <w:t>of</w:t>
        <w:br/>
        <w:t>Chanson International Holding</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jc w:val="center"/>
        <w:rPr>
          <w:caps/>
        </w:rPr>
      </w:pPr>
      <w:r>
        <w:rPr>
          <w:caps/>
        </w:rPr>
        <w:t> </w:t>
      </w:r>
    </w:p>
    <w:tbl>
      <w:tblPr>
        <w:tblW w:w="7230" w:type="dxa"/>
        <w:jc w:val="left"/>
        <w:tblInd w:w="0" w:type="dxa"/>
        <w:tblLayout w:type="fixed"/>
        <w:tblCellMar>
          <w:top w:w="0" w:type="dxa"/>
          <w:left w:w="0" w:type="dxa"/>
          <w:bottom w:w="0" w:type="dxa"/>
          <w:right w:w="0" w:type="dxa"/>
        </w:tblCellMar>
      </w:tblPr>
      <w:tblGrid>
        <w:gridCol w:w="155"/>
        <w:gridCol w:w="6830"/>
        <w:gridCol w:w="245"/>
      </w:tblGrid>
      <w:tr>
        <w:trPr/>
        <w:tc>
          <w:tcPr>
            <w:tcW w:w="155" w:type="dxa"/>
            <w:tcBorders/>
            <w:vAlign w:val="center"/>
          </w:tcPr>
          <w:p>
            <w:pPr>
              <w:pStyle w:val="TableContents"/>
              <w:bidi w:val="0"/>
              <w:spacing w:before="0" w:after="283"/>
              <w:jc w:val="left"/>
              <w:rPr/>
            </w:pPr>
            <w:r>
              <w:rPr/>
              <w:t>1</w:t>
            </w:r>
          </w:p>
        </w:tc>
        <w:tc>
          <w:tcPr>
            <w:tcW w:w="6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Table A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Shares and options, with or without special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commissions and brokerage fees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not recognised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vary class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new Share issue on existing class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bearer Shares or warrants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attaching to Treasury Shares and related matters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Return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pPr>
            <w:r>
              <w:rPr/>
              <w:t>3</w:t>
            </w:r>
          </w:p>
        </w:tc>
        <w:tc>
          <w:tcPr>
            <w:tcW w:w="6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 certificates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of lost or damaged share certificates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pPr>
            <w:r>
              <w:rPr/>
              <w:t>4</w:t>
            </w:r>
          </w:p>
        </w:tc>
        <w:tc>
          <w:tcPr>
            <w:tcW w:w="6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and scope of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sell Shares to satisfy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execute instrument of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sale of Shares to satisfy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sale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pPr>
            <w:r>
              <w:rPr/>
              <w:t>5</w:t>
            </w:r>
          </w:p>
        </w:tc>
        <w:tc>
          <w:tcPr>
            <w:tcW w:w="6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calls and effect of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call made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unpaid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accept early payment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different arrangements at time of issue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or surrender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forfeited or surrendered Share and power to cancel forfeiture or surrender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forfeiture or surrender on former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forfeiture or surrender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forfeited or surrendered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pPr>
            <w:r>
              <w:rPr/>
              <w:t>6</w:t>
            </w:r>
          </w:p>
        </w:tc>
        <w:tc>
          <w:tcPr>
            <w:tcW w:w="6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transfers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retain instrument of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refusal to register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pPr>
            <w:r>
              <w:rPr/>
              <w:t>7</w:t>
            </w:r>
          </w:p>
        </w:tc>
        <w:tc>
          <w:tcPr>
            <w:tcW w:w="6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on death of a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transfer of a Share following death or bankruptcy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5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person entitled to a Share following death or bankruptcy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75" w:type="dxa"/>
        <w:jc w:val="left"/>
        <w:tblInd w:w="0" w:type="dxa"/>
        <w:tblLayout w:type="fixed"/>
        <w:tblCellMar>
          <w:top w:w="0" w:type="dxa"/>
          <w:left w:w="0" w:type="dxa"/>
          <w:bottom w:w="0" w:type="dxa"/>
          <w:right w:w="0" w:type="dxa"/>
        </w:tblCellMar>
      </w:tblPr>
      <w:tblGrid>
        <w:gridCol w:w="275"/>
        <w:gridCol w:w="6155"/>
        <w:gridCol w:w="245"/>
      </w:tblGrid>
      <w:tr>
        <w:trPr/>
        <w:tc>
          <w:tcPr>
            <w:tcW w:w="275" w:type="dxa"/>
            <w:tcBorders/>
            <w:vAlign w:val="center"/>
          </w:tcPr>
          <w:p>
            <w:pPr>
              <w:pStyle w:val="TableContents"/>
              <w:bidi w:val="0"/>
              <w:spacing w:before="0" w:after="283"/>
              <w:jc w:val="left"/>
              <w:rPr/>
            </w:pPr>
            <w:r>
              <w:rPr/>
              <w:t>8</w:t>
            </w:r>
          </w:p>
        </w:tc>
        <w:tc>
          <w:tcPr>
            <w:tcW w:w="6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consolidating, converting, dividing and cancelling share capital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 with fractions resulting from consolidation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share capital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9</w:t>
            </w:r>
          </w:p>
        </w:tc>
        <w:tc>
          <w:tcPr>
            <w:tcW w:w="6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redeemable Shares and to purchase own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for redemption or purchase in cash or in specie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redemption or purchase of a Share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Conversions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10</w:t>
            </w:r>
          </w:p>
        </w:tc>
        <w:tc>
          <w:tcPr>
            <w:tcW w:w="6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and extraordinary general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call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receive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Accidental omission to give notice or non-receipt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11</w:t>
            </w:r>
          </w:p>
        </w:tc>
        <w:tc>
          <w:tcPr>
            <w:tcW w:w="6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a Director to attend and speak</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Accommodation of Members at meeting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voting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Outcome of vote by show of hands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demand for a poll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of a poll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Chairman’s casting vote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Sole-Member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12</w:t>
            </w:r>
          </w:p>
        </w:tc>
        <w:tc>
          <w:tcPr>
            <w:tcW w:w="6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vote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of corporate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with mental disorder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Objections to admissibility of votes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proxy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and when proxy is to be delivered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by proxy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2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13</w:t>
            </w:r>
          </w:p>
        </w:tc>
        <w:tc>
          <w:tcPr>
            <w:tcW w:w="6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765" w:type="dxa"/>
        <w:jc w:val="left"/>
        <w:tblInd w:w="0" w:type="dxa"/>
        <w:tblLayout w:type="fixed"/>
        <w:tblCellMar>
          <w:top w:w="0" w:type="dxa"/>
          <w:left w:w="0" w:type="dxa"/>
          <w:bottom w:w="0" w:type="dxa"/>
          <w:right w:w="0" w:type="dxa"/>
        </w:tblCellMar>
      </w:tblPr>
      <w:tblGrid>
        <w:gridCol w:w="275"/>
        <w:gridCol w:w="6245"/>
        <w:gridCol w:w="245"/>
      </w:tblGrid>
      <w:tr>
        <w:trPr/>
        <w:tc>
          <w:tcPr>
            <w:tcW w:w="275" w:type="dxa"/>
            <w:tcBorders/>
            <w:vAlign w:val="center"/>
          </w:tcPr>
          <w:p>
            <w:pPr>
              <w:pStyle w:val="TableContents"/>
              <w:bidi w:val="0"/>
              <w:spacing w:before="0" w:after="283"/>
              <w:jc w:val="left"/>
              <w:rPr/>
            </w:pPr>
            <w:r>
              <w:rPr/>
              <w:t>14</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 limit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shareholding qualification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Board’s power to appoint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at annual general meeting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office of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15</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removal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alternate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ceases when the appointor ceases to be a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alternate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the Director making the appointment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16</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below the minimum number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Appointments to office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employees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voting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information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17</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delegate any of the Directors’ powers to a committee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boards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agent of the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attorney or authorised signatory of the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Powers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18</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Directors’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Calling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technology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or deputy to preside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Recording of dissent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Directors in spite of formal defect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19</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20</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21</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22</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23</w:t>
            </w:r>
          </w:p>
        </w:tc>
        <w:tc>
          <w:tcPr>
            <w:tcW w:w="6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dividends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of dividends by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interim dividends and declaration of final dividends by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Apportionment of dividends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 off</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other than in cash</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payments may be made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or other monies not to bear interest in absence of special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7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unable to be paid or unclaimed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90" w:type="dxa"/>
        <w:jc w:val="left"/>
        <w:tblInd w:w="0" w:type="dxa"/>
        <w:tblLayout w:type="fixed"/>
        <w:tblCellMar>
          <w:top w:w="0" w:type="dxa"/>
          <w:left w:w="0" w:type="dxa"/>
          <w:bottom w:w="0" w:type="dxa"/>
          <w:right w:w="0" w:type="dxa"/>
        </w:tblCellMar>
      </w:tblPr>
      <w:tblGrid>
        <w:gridCol w:w="275"/>
        <w:gridCol w:w="7970"/>
        <w:gridCol w:w="245"/>
      </w:tblGrid>
      <w:tr>
        <w:trPr/>
        <w:tc>
          <w:tcPr>
            <w:tcW w:w="275" w:type="dxa"/>
            <w:tcBorders/>
            <w:vAlign w:val="center"/>
          </w:tcPr>
          <w:p>
            <w:pPr>
              <w:pStyle w:val="TableContents"/>
              <w:bidi w:val="0"/>
              <w:spacing w:before="0" w:after="283"/>
              <w:jc w:val="left"/>
              <w:rPr/>
            </w:pPr>
            <w:r>
              <w:rPr/>
              <w:t>24</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Capitalisation of profits or of any share premium account or capital redemption reserve;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an amount for the benefit of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25</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maintain share premium account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Debits to share premium account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26</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how seal is to be used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seal is adopted or used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allow non-manual signatures and facsimile printing of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execution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27</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28</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communications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authorised to give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written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notice to a deceased or bankrupt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giving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29</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documents sent by Members by Electronic means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 sent by the Secretary or Officers of the Company by Electronic means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signing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30</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31</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assets in specie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accept liability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pPr>
            <w:r>
              <w:rPr/>
              <w:t>32</w:t>
            </w:r>
          </w:p>
        </w:tc>
        <w:tc>
          <w:tcPr>
            <w:tcW w:w="7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change name or amend Memorandum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27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amend these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br/>
        <w:t>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Chanson International Holding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p>
      <w:pPr>
        <w:pStyle w:val="TextBody"/>
        <w:bidi w:val="0"/>
        <w:spacing w:before="0" w:after="0"/>
        <w:jc w:val="center"/>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25"/>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Definitions, interpretation and exclusion of Table 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720"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7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these Articles, the following definitions apply: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xml:space="preserve"> means an American depository share representing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1440" w:right="0" w:hanging="72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1440" w:right="0" w:hanging="72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w:t>
      </w:r>
      <w:r>
        <w:rPr>
          <w:rFonts w:ascii="Times New Roman;Times;Serif" w:hAnsi="Times New Roman;Times;Serif"/>
          <w:b w:val="false"/>
          <w:i w:val="false"/>
          <w:caps w:val="false"/>
          <w:smallCaps w:val="false"/>
          <w:sz w:val="20"/>
        </w:rPr>
        <w:t xml:space="preserve"> means a Class A ordinary share of a par value of US$0.000000001 in the share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w:t>
      </w:r>
      <w:r>
        <w:rPr>
          <w:rFonts w:ascii="Times New Roman;Times;Serif" w:hAnsi="Times New Roman;Times;Serif"/>
          <w:b w:val="false"/>
          <w:i w:val="false"/>
          <w:caps w:val="false"/>
          <w:smallCaps w:val="false"/>
          <w:sz w:val="20"/>
        </w:rPr>
        <w:t xml:space="preserve"> means a Class B ordinary share of a par value of US$0.000000001 in the share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144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ind w:left="1440" w:right="0" w:hanging="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Nasdaq Capital Market in the United States of America for so long as the Company’s Shares or ADSs are there listed and any other stock exchange on which the Company’s Shares or ADSs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or ADSs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Class A Ordinary Share or a Class B Ordinary Share in the capital of the Company and the expression:</w:t>
      </w:r>
    </w:p>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Law and Article 2.12;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720" w:right="0" w:hanging="72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275"/>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interpretation of these Articles, the following provisions apply unless the context otherwise requires: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2126"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26" w:right="0" w:hanging="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Law of the Cayman Islands is taken to be a reference to the revision of that Law in force from time to time as amended from time to time.</w:t>
      </w:r>
    </w:p>
    <w:p>
      <w:pPr>
        <w:pStyle w:val="TextBody"/>
        <w:bidi w:val="0"/>
        <w:spacing w:before="0" w:after="0"/>
        <w:ind w:left="1440" w:right="0" w:hanging="72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ind w:left="720" w:right="0" w:hanging="72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7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Law and any other regulations contained in any statute or subordinate legislation are expressly excluded and do not apply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723" w:type="dxa"/>
        <w:jc w:val="left"/>
        <w:tblInd w:w="0" w:type="dxa"/>
        <w:tblLayout w:type="fixed"/>
        <w:tblCellMar>
          <w:top w:w="0" w:type="dxa"/>
          <w:left w:w="0" w:type="dxa"/>
          <w:bottom w:w="0" w:type="dxa"/>
          <w:right w:w="0" w:type="dxa"/>
        </w:tblCellMar>
      </w:tblPr>
      <w:tblGrid>
        <w:gridCol w:w="38"/>
        <w:gridCol w:w="125"/>
        <w:gridCol w:w="5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Law.</w:t>
            </w:r>
          </w:p>
        </w:tc>
      </w:tr>
    </w:tbl>
    <w:p>
      <w:pPr>
        <w:pStyle w:val="TextBody"/>
        <w:bidi w:val="0"/>
        <w:spacing w:before="0" w:after="0"/>
        <w:ind w:left="720" w:right="0" w:hanging="72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27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720" w:right="0" w:hanging="72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275"/>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1440" w:right="0" w:hanging="72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3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1440" w:right="0" w:hanging="72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72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7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72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7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1440" w:right="0" w:hanging="7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40" w:right="0" w:hanging="72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1440" w:right="0" w:hanging="72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2.8(b), all the provisions of these Articles relating to general meetings apply, mutatis mutandis, to every such separate meeting except that: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the issued Shares of the class;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72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38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Law shall be held as Treasury Shares and not treated as cancelled if:</w:t>
            </w:r>
          </w:p>
        </w:tc>
      </w:tr>
    </w:tbl>
    <w:p>
      <w:pPr>
        <w:pStyle w:val="TextBody"/>
        <w:bidi w:val="0"/>
        <w:spacing w:before="0" w:after="0"/>
        <w:ind w:left="1440" w:right="0" w:hanging="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4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Law are otherwise complied 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2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38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2.14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Law and otherwise on such terms and conditions as the Directors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Law and may cause the Company to maintain one or more branch registers as contemplated by the Law,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Law and shall deliver a copy thereof to the registrar of companies for the Cayman Islands.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125"/>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75"/>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720" w:right="0" w:hanging="72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7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1440" w:right="0" w:hanging="720"/>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40" w:right="0" w:hanging="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12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Lien on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1440" w:right="0" w:hanging="72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720" w:right="0" w:hanging="720"/>
        <w:jc w:val="both"/>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27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720" w:right="0" w:hanging="72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275"/>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1440" w:right="0" w:hanging="72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40"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72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7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720" w:right="0" w:hanging="720"/>
        <w:jc w:val="both"/>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27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1440" w:right="0" w:hanging="72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40"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125"/>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720" w:right="0" w:hanging="72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7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144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40"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1440" w:right="0" w:hanging="72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40" w:right="0" w:hanging="72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ind w:left="1440"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720" w:right="0" w:hanging="720"/>
        <w:jc w:val="both"/>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38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72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38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1440" w:right="0" w:hanging="72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1440" w:right="0" w:hanging="72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2126"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26" w:right="0" w:hanging="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2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transfer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1440" w:right="0" w:hanging="72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a Member until the name of the transferee is entered in the register of Members in respect of the relevant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Shares which is not Fully Paid Up or on which the Company has a lien. The Directors may also, but are not required to, decline to register any transfer of any Share unless:</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440" w:right="0" w:hanging="731"/>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440" w:right="0" w:hanging="731"/>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440" w:right="0" w:hanging="731"/>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720" w:right="0" w:hanging="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75"/>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25"/>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40" w:right="0" w:hanging="72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40" w:right="0" w:hanging="72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720" w:right="0" w:hanging="72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7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2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27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1440" w:right="0" w:hanging="7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40" w:right="0" w:hanging="72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720" w:right="0" w:hanging="72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275"/>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25"/>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Alteration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Law, the Company may by Ordinary Resolution do any of the following and amend its Memorandum for that purpose: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40" w:right="0" w:hanging="72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Law,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125"/>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and purchase of own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its Directors: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Law, including out of any combination of the following: capital, its profits and the proceeds of a fresh issue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720" w:right="0" w:hanging="72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275"/>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2126"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26" w:right="0" w:hanging="72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1440" w:right="0" w:hanging="72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40" w:right="0" w:hanging="72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Conversions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23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38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720" w:right="0" w:hanging="72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38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38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per cent of the rights to vote at such general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38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1440" w:right="0" w:hanging="720"/>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40" w:right="0" w:hanging="72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485"/>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720" w:right="0" w:hanging="72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48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the requirements of (to the extent applicable) the Designated Stock Exchange Rules, the general nature of the business to be transacted; and</w:t>
            </w:r>
          </w:p>
        </w:tc>
      </w:tr>
    </w:tbl>
    <w:p>
      <w:pPr>
        <w:pStyle w:val="TextBody"/>
        <w:bidi w:val="0"/>
        <w:spacing w:before="0" w:after="0"/>
        <w:ind w:left="144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48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twenty-one Clear Days’ notice of an annual general meeting must be given to Members. For any other general meeting, at least fourteen Clear Days’ notice must be given to Members.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 meeting may be convened on shorter notice, subject to the Law with the consent of the Member or Members who, individually or collectively, hold at least ninety per cent of the voting rights of all those who have a right to vote at that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1440" w:right="0" w:hanging="720"/>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40" w:right="0" w:hanging="72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245"/>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720" w:right="0" w:hanging="72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48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1440" w:right="0" w:hanging="72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1440" w:right="0" w:hanging="72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4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720" w:right="0" w:hanging="72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3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1440" w:right="0" w:hanging="72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1440" w:right="0" w:hanging="72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1440" w:right="0" w:hanging="72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ind w:left="144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Law, a poll may be demanded:</w:t>
            </w:r>
          </w:p>
        </w:tc>
      </w:tr>
    </w:tbl>
    <w:p>
      <w:pPr>
        <w:pStyle w:val="TextBody"/>
        <w:bidi w:val="0"/>
        <w:spacing w:before="0" w:after="0"/>
        <w:ind w:left="1440" w:right="0" w:hanging="72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two Members having the right to vote on the resolutions;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Member or Members present who, individually or collectively, hold at least ten per cent of the voting rights of all those who have a right to vote on the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Outcome of vote by show of hands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demand for a poll</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720" w:right="0" w:hanging="72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48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720" w:right="0" w:hanging="72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48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 resolution in writing without holding a meeting if the following conditions are met: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are given notice of the resolution as if the same were being proposed at a meeting of Members;</w:t>
            </w:r>
          </w:p>
        </w:tc>
      </w:tr>
    </w:tbl>
    <w:p>
      <w:pPr>
        <w:pStyle w:val="TextBody"/>
        <w:bidi w:val="0"/>
        <w:spacing w:before="0" w:after="0"/>
        <w:ind w:left="1440" w:right="0" w:hanging="72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2126"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26" w:right="0" w:hanging="72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shall be as effective as if it had been passed at a meeting of the Members entitled to vote duly convened and held.</w:t>
            </w:r>
          </w:p>
        </w:tc>
      </w:tr>
    </w:tbl>
    <w:p>
      <w:pPr>
        <w:pStyle w:val="TextBody"/>
        <w:bidi w:val="0"/>
        <w:spacing w:before="0" w:after="0"/>
        <w:ind w:left="720" w:right="0" w:hanging="72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485"/>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2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3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 Ordinary Share shall (in respect of such Ordinary Share) have the right to receive notice of, attend at and vote as a Member at any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Ordinary Shares shall, on a poll, be entitled to one vote for each Share he or she holds save that each holder of Class B Ordinary Shares shall, on a poll, be entitled to exercise eighty (80) votes for each Class B Ordinary Share he or she holds on any and all matters.</w:t>
            </w:r>
          </w:p>
        </w:tc>
      </w:tr>
    </w:tbl>
    <w:p>
      <w:pPr>
        <w:pStyle w:val="TextBody"/>
        <w:bidi w:val="0"/>
        <w:spacing w:before="0" w:after="0"/>
        <w:ind w:left="720" w:right="0" w:hanging="72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38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every Member shall have one vote. For the avoidance of doubt, an individual who represents two or more Members, including a Member in that individual’s own right, that individual shall be entitled to a separate vote for each Member.</w:t>
            </w:r>
          </w:p>
        </w:tc>
      </w:tr>
    </w:tbl>
    <w:p>
      <w:pPr>
        <w:pStyle w:val="TextBody"/>
        <w:bidi w:val="0"/>
        <w:spacing w:before="0" w:after="0"/>
        <w:ind w:left="720" w:right="0" w:hanging="72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38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720" w:right="0" w:hanging="72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38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720" w:right="0" w:hanging="72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48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485"/>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1440"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40" w:right="0" w:hanging="72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40"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12.18.</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12.20 will affect the validity of any acts carried out by the relevant proxy before the Directors of the Company had actual notice of the revocation.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1440" w:right="0" w:hanging="72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2126"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2126"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26" w:right="0" w:hanging="72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26" w:right="0" w:hanging="72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12.22(a) and Article 12.22(b), the chairman of the Company may, in any event at his discretion, direct that an instrument of proxy shall be deemed to have been duly deposited.</w:t>
            </w:r>
          </w:p>
        </w:tc>
      </w:tr>
    </w:tbl>
    <w:p>
      <w:pPr>
        <w:pStyle w:val="TextBody"/>
        <w:bidi w:val="0"/>
        <w:spacing w:before="0" w:after="0"/>
        <w:ind w:left="720" w:right="0" w:hanging="72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485"/>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poll is taken: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taken more than seven Clear Days after it is demanded, the form of appointment of a proxy and any accompanying authority (or an Electronic Record of the same) must be delivered in accordance with Article 12.22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to be taken within seven Clear Days after it was demanded, the form of appointment of a proxy and any accompanying authority (or an Electronic Record of the same) must be delivered in accordance with Article 12.22 before the time appointed for the taking of the poll.</w:t>
            </w:r>
          </w:p>
        </w:tc>
      </w:tr>
    </w:tbl>
    <w:p>
      <w:pPr>
        <w:pStyle w:val="TextBody"/>
        <w:bidi w:val="0"/>
        <w:spacing w:before="0" w:after="0"/>
        <w:ind w:left="720" w:right="0" w:hanging="72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48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3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20" w:right="0" w:hanging="72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3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disqualification and removal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720" w:right="0" w:hanging="72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38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720" w:right="0" w:hanging="72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38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or ADSs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so appointed shall, if still a Director, retire at the next annual general meeting after his appointment and be eligible to stand for election as a Director at such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a Director retiring in accordance with these Articles) shall be appointed or re-appointed a Director at any general meeting unless:</w:t>
            </w:r>
          </w:p>
        </w:tc>
      </w:tr>
    </w:tbl>
    <w:p>
      <w:pPr>
        <w:pStyle w:val="TextBody"/>
        <w:bidi w:val="0"/>
        <w:spacing w:before="0" w:after="0"/>
        <w:ind w:left="1440" w:right="0" w:hanging="72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3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recommended by the Board;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at annual general meeting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re-appointed pursuant to the provisions of Article 14.5 or removed from office pursuant to the provisions of Article 14.13, each Director shall be appointed for a term expiring at the next-following annual general meeting of the Company. At any such annual general meeting, Directors will be elected by Ordinary Resolution. At each annual general meeting of the Company, each Director elected at such meeting shall be elected to hold office for a one-year term and until the election of their respective successors in office or removal pursuant to Articles 14.5 and 14.13.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720" w:right="0" w:hanging="72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48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1440"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40"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23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1440" w:right="0" w:hanging="72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720" w:right="0" w:hanging="72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38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720" w:right="0" w:hanging="72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38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1440" w:right="0" w:hanging="72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720" w:right="0" w:hanging="72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38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720" w:right="0" w:hanging="72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38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38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720" w:right="0" w:hanging="720"/>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485"/>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720" w:right="0" w:hanging="72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485"/>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3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720" w:right="0" w:hanging="72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38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20" w:right="0" w:hanging="72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38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720" w:right="0" w:hanging="72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38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2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38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Directors may also appoint and remove any person, who need not be a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40" w:right="0" w:hanging="72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20" w:right="0" w:hanging="72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38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720" w:right="0" w:hanging="72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48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40" w:right="0" w:hanging="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or</w:t>
            </w:r>
          </w:p>
        </w:tc>
      </w:tr>
    </w:tbl>
    <w:p>
      <w:pPr>
        <w:pStyle w:val="TextBody"/>
        <w:bidi w:val="0"/>
        <w:spacing w:before="0" w:after="0"/>
        <w:ind w:left="144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3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Delegation of powers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38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1440" w:right="0" w:hanging="72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40"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1440" w:right="0" w:hanging="720"/>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40" w:right="0" w:hanging="72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40"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20"/>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48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2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23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720" w:right="0" w:hanging="72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38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38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unless the Directors fix some other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1440" w:right="0" w:hanging="72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40" w:right="0" w:hanging="72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40" w:right="0" w:hanging="72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720"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48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2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3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Permissible Directors’ interests and disclosure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1440" w:right="0" w:hanging="720"/>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A-39</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 to be a material interest in all circumstances);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Law)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19.1.</w:t>
            </w:r>
          </w:p>
        </w:tc>
      </w:tr>
    </w:tbl>
    <w:p>
      <w:pPr>
        <w:pStyle w:val="TextBody"/>
        <w:bidi w:val="0"/>
        <w:spacing w:before="0" w:after="0"/>
        <w:ind w:left="720" w:right="0" w:hanging="720"/>
        <w:jc w:val="both"/>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38"/>
        <w:gridCol w:w="23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Minutes</w:t>
            </w:r>
          </w:p>
        </w:tc>
      </w:tr>
    </w:tbl>
    <w:p>
      <w:pPr>
        <w:pStyle w:val="TextBody"/>
        <w:bidi w:val="0"/>
        <w:spacing w:before="0" w:after="0"/>
        <w:ind w:left="72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38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1440" w:right="0" w:hanging="72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1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and audit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Law or as authorised by the Directors or by Ordinary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 December in each year and begin on 1 January in each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720" w:right="0" w:hanging="72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38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38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1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Record dates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xml:space="preserve"> in respect of the dividend of transferors and transferees of any of those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A-41</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720" w:right="0" w:hanging="72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8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Law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in relation to the distinction between interim dividends and final dividends, the following applies: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72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38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A-42</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720" w:right="0" w:hanging="72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48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720" w:right="0" w:hanging="72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485"/>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3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1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Capitalisation of profits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720" w:right="0" w:hanging="72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38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40" w:right="0" w:hanging="72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1440" w:right="0" w:hanging="72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20" w:right="0" w:hanging="72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Premium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720" w:right="0" w:hanging="72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38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40" w:right="0" w:hanging="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Law.</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A-45</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648" w:type="dxa"/>
        <w:jc w:val="left"/>
        <w:tblInd w:w="0" w:type="dxa"/>
        <w:tblLayout w:type="fixed"/>
        <w:tblCellMar>
          <w:top w:w="0" w:type="dxa"/>
          <w:left w:w="0" w:type="dxa"/>
          <w:bottom w:w="0" w:type="dxa"/>
          <w:right w:w="0" w:type="dxa"/>
        </w:tblCellMar>
      </w:tblPr>
      <w:tblGrid>
        <w:gridCol w:w="38"/>
        <w:gridCol w:w="230"/>
        <w:gridCol w:w="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720" w:right="0" w:hanging="72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38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1440" w:right="0" w:hanging="72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720" w:right="0" w:hanging="72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38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1440" w:right="0" w:hanging="72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40" w:right="0" w:hanging="72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3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720" w:right="0" w:hanging="72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38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1440" w:right="0" w:hanging="72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2126" w:right="0" w:hanging="72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2126" w:right="0" w:hanging="72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26" w:right="0" w:hanging="72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720" w:right="0" w:hanging="720"/>
        <w:jc w:val="both"/>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230"/>
        <w:gridCol w:w="6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1440" w:right="0" w:hanging="72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40"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720"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38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1440" w:right="0" w:hanging="72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states how an Electronic Record may be given and, if applicable, specifies an email address for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A-48</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1440" w:right="0" w:hanging="72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Law and, in a manner for the time being agreed between him and the Company for the purpose) of:</w:t>
            </w:r>
          </w:p>
        </w:tc>
      </w:tr>
    </w:tbl>
    <w:p>
      <w:pPr>
        <w:pStyle w:val="TextBody"/>
        <w:bidi w:val="0"/>
        <w:spacing w:before="0" w:after="0"/>
        <w:ind w:left="2126" w:right="0" w:hanging="72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2126" w:right="0" w:hanging="72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26" w:right="0" w:hanging="72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485"/>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720" w:right="0" w:hanging="72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48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305"/>
        <w:gridCol w:w="60"/>
        <w:gridCol w:w="5840"/>
      </w:tblGrid>
      <w:tr>
        <w:trPr/>
        <w:tc>
          <w:tcPr>
            <w:tcW w:w="4305" w:type="dxa"/>
            <w:tcBorders>
              <w:bottom w:val="single" w:sz="8" w:space="0" w:color="000000"/>
            </w:tcBorders>
            <w:vAlign w:val="center"/>
          </w:tcPr>
          <w:p>
            <w:pPr>
              <w:pStyle w:val="TableContents"/>
              <w:bidi w:val="0"/>
              <w:spacing w:before="0" w:after="283"/>
              <w:jc w:val="left"/>
              <w:rPr>
                <w:b/>
              </w:rPr>
            </w:pPr>
            <w:r>
              <w:rPr>
                <w:b/>
              </w:rPr>
              <w:t>Method for giving notices</w:t>
            </w:r>
          </w:p>
        </w:tc>
        <w:tc>
          <w:tcPr>
            <w:tcW w:w="60" w:type="dxa"/>
            <w:tcBorders/>
            <w:tcMar>
              <w:bottom w:w="0" w:type="dxa"/>
            </w:tcMar>
            <w:vAlign w:val="center"/>
          </w:tcPr>
          <w:p>
            <w:pPr>
              <w:pStyle w:val="TableContents"/>
              <w:bidi w:val="0"/>
              <w:spacing w:before="0" w:after="283"/>
              <w:jc w:val="center"/>
              <w:rPr/>
            </w:pPr>
            <w:r>
              <w:rPr/>
              <w:t> </w:t>
            </w:r>
          </w:p>
        </w:tc>
        <w:tc>
          <w:tcPr>
            <w:tcW w:w="5840" w:type="dxa"/>
            <w:tcBorders>
              <w:bottom w:val="single" w:sz="8" w:space="0" w:color="000000"/>
            </w:tcBorders>
            <w:vAlign w:val="center"/>
          </w:tcPr>
          <w:p>
            <w:pPr>
              <w:pStyle w:val="TableContents"/>
              <w:bidi w:val="0"/>
              <w:spacing w:before="0" w:after="283"/>
              <w:jc w:val="left"/>
              <w:rPr>
                <w:b/>
              </w:rPr>
            </w:pPr>
            <w:r>
              <w:rPr>
                <w:b/>
              </w:rPr>
              <w:t>When taken to be given</w:t>
            </w:r>
          </w:p>
        </w:tc>
      </w:tr>
      <w:tr>
        <w:trPr/>
        <w:tc>
          <w:tcPr>
            <w:tcW w:w="4305" w:type="dxa"/>
            <w:tcBorders/>
            <w:tcMar>
              <w:bottom w:w="0" w:type="dxa"/>
            </w:tcMar>
            <w:vAlign w:val="center"/>
          </w:tcPr>
          <w:p>
            <w:pPr>
              <w:pStyle w:val="TableContents"/>
              <w:bidi w:val="0"/>
              <w:spacing w:before="0" w:after="283"/>
              <w:jc w:val="left"/>
              <w:rPr/>
            </w:pPr>
            <w:r>
              <w:rPr/>
              <w:t>(A) Personally</w:t>
            </w:r>
          </w:p>
        </w:tc>
        <w:tc>
          <w:tcPr>
            <w:tcW w:w="60" w:type="dxa"/>
            <w:tcBorders/>
            <w:tcMar>
              <w:bottom w:w="0" w:type="dxa"/>
            </w:tcMar>
            <w:vAlign w:val="center"/>
          </w:tcPr>
          <w:p>
            <w:pPr>
              <w:pStyle w:val="TableContents"/>
              <w:bidi w:val="0"/>
              <w:spacing w:before="0" w:after="283"/>
              <w:jc w:val="left"/>
              <w:rPr/>
            </w:pPr>
            <w:r>
              <w:rPr/>
              <w:t> </w:t>
            </w:r>
          </w:p>
        </w:tc>
        <w:tc>
          <w:tcPr>
            <w:tcW w:w="5840" w:type="dxa"/>
            <w:tcBorders/>
            <w:tcMar>
              <w:bottom w:w="0" w:type="dxa"/>
            </w:tcMar>
            <w:vAlign w:val="center"/>
          </w:tcPr>
          <w:p>
            <w:pPr>
              <w:pStyle w:val="TableContents"/>
              <w:bidi w:val="0"/>
              <w:spacing w:before="0" w:after="283"/>
              <w:jc w:val="both"/>
              <w:rPr/>
            </w:pPr>
            <w:r>
              <w:rPr/>
              <w:t>At the time and date of delivery</w:t>
            </w:r>
          </w:p>
        </w:tc>
      </w:tr>
      <w:tr>
        <w:trPr/>
        <w:tc>
          <w:tcPr>
            <w:tcW w:w="4305" w:type="dxa"/>
            <w:tcBorders/>
            <w:tcMar>
              <w:bottom w:w="0" w:type="dxa"/>
            </w:tcMar>
            <w:vAlign w:val="center"/>
          </w:tcPr>
          <w:p>
            <w:pPr>
              <w:pStyle w:val="TableContents"/>
              <w:bidi w:val="0"/>
              <w:spacing w:before="0" w:after="283"/>
              <w:jc w:val="left"/>
              <w:rPr/>
            </w:pPr>
            <w:r>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5840" w:type="dxa"/>
            <w:tcBorders/>
            <w:tcMar>
              <w:bottom w:w="0" w:type="dxa"/>
            </w:tcMar>
            <w:vAlign w:val="center"/>
          </w:tcPr>
          <w:p>
            <w:pPr>
              <w:pStyle w:val="TableContents"/>
              <w:bidi w:val="0"/>
              <w:spacing w:before="0" w:after="283"/>
              <w:jc w:val="both"/>
              <w:rPr/>
            </w:pPr>
            <w:r>
              <w:rPr/>
              <w:t>At the time and date it was left</w:t>
            </w:r>
          </w:p>
        </w:tc>
      </w:tr>
      <w:tr>
        <w:trPr/>
        <w:tc>
          <w:tcPr>
            <w:tcW w:w="4305" w:type="dxa"/>
            <w:tcBorders/>
            <w:tcMar>
              <w:bottom w:w="0" w:type="dxa"/>
            </w:tcMar>
            <w:vAlign w:val="center"/>
          </w:tcPr>
          <w:p>
            <w:pPr>
              <w:pStyle w:val="TableContents"/>
              <w:bidi w:val="0"/>
              <w:spacing w:before="0" w:after="283"/>
              <w:jc w:val="left"/>
              <w:rPr/>
            </w:pPr>
            <w:r>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5840" w:type="dxa"/>
            <w:tcBorders/>
            <w:tcMar>
              <w:bottom w:w="0" w:type="dxa"/>
            </w:tcMar>
            <w:vAlign w:val="center"/>
          </w:tcPr>
          <w:p>
            <w:pPr>
              <w:pStyle w:val="TableContents"/>
              <w:bidi w:val="0"/>
              <w:spacing w:before="0" w:after="283"/>
              <w:jc w:val="both"/>
              <w:rPr/>
            </w:pPr>
            <w:r>
              <w:rPr/>
              <w:t>48 hours after the date it was posted</w:t>
            </w:r>
          </w:p>
        </w:tc>
      </w:tr>
      <w:tr>
        <w:trPr/>
        <w:tc>
          <w:tcPr>
            <w:tcW w:w="4305" w:type="dxa"/>
            <w:tcBorders/>
            <w:tcMar>
              <w:bottom w:w="0" w:type="dxa"/>
            </w:tcMar>
            <w:vAlign w:val="center"/>
          </w:tcPr>
          <w:p>
            <w:pPr>
              <w:pStyle w:val="TableContents"/>
              <w:bidi w:val="0"/>
              <w:spacing w:before="0" w:after="283"/>
              <w:jc w:val="left"/>
              <w:rPr/>
            </w:pPr>
            <w:r>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5840" w:type="dxa"/>
            <w:tcBorders/>
            <w:tcMar>
              <w:bottom w:w="0" w:type="dxa"/>
            </w:tcMar>
            <w:vAlign w:val="center"/>
          </w:tcPr>
          <w:p>
            <w:pPr>
              <w:pStyle w:val="TableContents"/>
              <w:bidi w:val="0"/>
              <w:spacing w:before="0" w:after="283"/>
              <w:jc w:val="both"/>
              <w:rPr/>
            </w:pPr>
            <w:r>
              <w:rPr/>
              <w:t>48 hours after the date it was sent</w:t>
            </w:r>
          </w:p>
        </w:tc>
      </w:tr>
      <w:tr>
        <w:trPr/>
        <w:tc>
          <w:tcPr>
            <w:tcW w:w="4305" w:type="dxa"/>
            <w:tcBorders/>
            <w:tcMar>
              <w:bottom w:w="0" w:type="dxa"/>
            </w:tcMar>
            <w:vAlign w:val="center"/>
          </w:tcPr>
          <w:p>
            <w:pPr>
              <w:pStyle w:val="TableContents"/>
              <w:bidi w:val="0"/>
              <w:spacing w:before="0" w:after="283"/>
              <w:jc w:val="left"/>
              <w:rPr/>
            </w:pPr>
            <w:r>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5840" w:type="dxa"/>
            <w:tcBorders/>
            <w:tcMar>
              <w:bottom w:w="0" w:type="dxa"/>
            </w:tcMar>
            <w:vAlign w:val="center"/>
          </w:tcPr>
          <w:p>
            <w:pPr>
              <w:pStyle w:val="TableContents"/>
              <w:bidi w:val="0"/>
              <w:spacing w:before="0" w:after="283"/>
              <w:jc w:val="both"/>
              <w:rPr/>
            </w:pPr>
            <w:r>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A-51</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3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one or more of those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72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3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by way of continuation</w:t>
            </w:r>
          </w:p>
        </w:tc>
      </w:tr>
    </w:tbl>
    <w:p>
      <w:pPr>
        <w:pStyle w:val="TextBody"/>
        <w:bidi w:val="0"/>
        <w:spacing w:before="0" w:after="0"/>
        <w:ind w:left="720" w:right="0" w:hanging="720"/>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38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1440" w:right="0" w:hanging="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40" w:right="0" w:hanging="72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720" w:right="0" w:hanging="72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38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23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Law, pass a Special Resolution allowing the liquidator to do either or both of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720" w:right="0" w:hanging="72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38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720" w:right="0" w:hanging="72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38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3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of Memorandum and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720" w:right="0" w:hanging="72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38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the Company may, by Special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as provided in these Articles, the Company may, by Special Resolution, amend these Articles in whole or in part.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AMENDED AND RESTATED MEMORANDUM AND ARTICLES OF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6934" w:type="dxa"/>
        <w:jc w:val="left"/>
        <w:tblInd w:w="0" w:type="dxa"/>
        <w:tblLayout w:type="fixed"/>
        <w:tblCellMar>
          <w:top w:w="0" w:type="dxa"/>
          <w:left w:w="0" w:type="dxa"/>
          <w:bottom w:w="0" w:type="dxa"/>
          <w:right w:w="0" w:type="dxa"/>
        </w:tblCellMar>
      </w:tblPr>
      <w:tblGrid>
        <w:gridCol w:w="137"/>
        <w:gridCol w:w="6660"/>
        <w:gridCol w:w="137"/>
      </w:tblGrid>
      <w:tr>
        <w:trPr/>
        <w:tc>
          <w:tcPr>
            <w:tcW w:w="6934"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tc>
      </w:tr>
      <w:tr>
        <w:trPr/>
        <w:tc>
          <w:tcPr>
            <w:tcW w:w="137" w:type="dxa"/>
            <w:tcBorders/>
            <w:vAlign w:val="center"/>
          </w:tcPr>
          <w:p>
            <w:pPr>
              <w:pStyle w:val="TableContents"/>
              <w:bidi w:val="0"/>
              <w:spacing w:before="0" w:after="283"/>
              <w:jc w:val="center"/>
              <w:rPr>
                <w:caps w:val="false"/>
                <w:smallCaps w:val="false"/>
              </w:rPr>
            </w:pPr>
            <w:r>
              <w:rPr>
                <w:caps w:val="false"/>
                <w:smallCaps w:val="false"/>
              </w:rPr>
              <w:t> </w:t>
            </w:r>
          </w:p>
        </w:tc>
        <w:tc>
          <w:tcPr>
            <w:tcW w:w="666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br/>
              <w:t>Memorandum of Association</w:t>
              <w:br/>
              <w:t>of</w:t>
              <w:br/>
              <w:t>Chanson International Holding</w:t>
            </w:r>
          </w:p>
          <w:p>
            <w:pPr>
              <w:pStyle w:val="TableContents"/>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ableContents"/>
              <w:bidi w:val="0"/>
              <w:spacing w:before="0" w:after="0"/>
              <w:ind w:left="0" w:right="0" w:hanging="0"/>
              <w:jc w:val="center"/>
              <w:rPr>
                <w:caps w:val="false"/>
                <w:smallCaps w:val="false"/>
              </w:rPr>
            </w:pPr>
            <w:r>
              <w:rPr>
                <w:caps w:val="false"/>
                <w:smallCaps w:val="false"/>
              </w:rPr>
              <w:t> </w:t>
            </w:r>
          </w:p>
        </w:tc>
        <w:tc>
          <w:tcPr>
            <w:tcW w:w="1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934" w:type="dxa"/>
            <w:gridSpan w:val="3"/>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 and made effective on [—] 2026)</w:t>
            </w:r>
          </w:p>
        </w:tc>
      </w:tr>
    </w:tbl>
    <w:p>
      <w:pPr>
        <w:pStyle w:val="TextBody"/>
        <w:bidi w:val="0"/>
        <w:spacing w:before="0" w:after="0"/>
        <w:ind w:left="0" w:right="0" w:hanging="0"/>
        <w:jc w:val="center"/>
        <w:rPr>
          <w:caps/>
        </w:rPr>
      </w:pPr>
      <w:r>
        <w:rPr>
          <w:caps/>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 and made effective on [—] 2026)</w:t>
      </w:r>
    </w:p>
    <w:p>
      <w:pPr>
        <w:pStyle w:val="TextBody"/>
        <w:bidi w:val="0"/>
        <w:spacing w:before="0" w:after="0"/>
        <w:ind w:left="0" w:right="0" w:hanging="0"/>
        <w:jc w:val="center"/>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125"/>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1</w:t>
            </w:r>
          </w:p>
        </w:tc>
        <w:tc>
          <w:tcPr>
            <w:tcW w:w="7805" w:type="dxa"/>
            <w:tcBorders/>
            <w:vAlign w:val="center"/>
          </w:tcPr>
          <w:p>
            <w:pPr>
              <w:pStyle w:val="TableContents"/>
              <w:bidi w:val="0"/>
              <w:spacing w:before="0" w:after="283"/>
              <w:jc w:val="both"/>
              <w:rPr/>
            </w:pPr>
            <w:r>
              <w:rPr/>
              <w:t xml:space="preserve">The name of the Company is Chanson International Holding </w:t>
            </w:r>
            <w:r>
              <w:rPr>
                <w:rFonts w:eastAsia="Times New Roman;Times;Serif"/>
              </w:rPr>
              <w:t>香颂国际控股公司</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2</w:t>
            </w:r>
          </w:p>
        </w:tc>
        <w:tc>
          <w:tcPr>
            <w:tcW w:w="10042" w:type="dxa"/>
            <w:tcBorders/>
            <w:vAlign w:val="center"/>
          </w:tcPr>
          <w:p>
            <w:pPr>
              <w:pStyle w:val="TableContents"/>
              <w:bidi w:val="0"/>
              <w:spacing w:before="0" w:after="283"/>
              <w:jc w:val="both"/>
              <w:rPr/>
            </w:pPr>
            <w:r>
              <w:rPr/>
              <w:t>The Company's registered office will be situated at the offices of Ogier Global (Cayman) Limited, 89 Nexus Way, Camana Bay, Grand Cayman, Cayman Islands KY1-9009, or at such other place in the Cayman Islands as the directors may at any time decide.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3</w:t>
            </w:r>
          </w:p>
        </w:tc>
        <w:tc>
          <w:tcPr>
            <w:tcW w:w="10042" w:type="dxa"/>
            <w:tcBorders/>
            <w:vAlign w:val="center"/>
          </w:tcPr>
          <w:p>
            <w:pPr>
              <w:pStyle w:val="TableContents"/>
              <w:bidi w:val="0"/>
              <w:spacing w:before="0" w:after="283"/>
              <w:jc w:val="both"/>
              <w:rPr/>
            </w:pPr>
            <w:r>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4</w:t>
            </w:r>
          </w:p>
        </w:tc>
        <w:tc>
          <w:tcPr>
            <w:tcW w:w="10042" w:type="dxa"/>
            <w:tcBorders/>
            <w:vAlign w:val="center"/>
          </w:tcPr>
          <w:p>
            <w:pPr>
              <w:pStyle w:val="TableContents"/>
              <w:bidi w:val="0"/>
              <w:spacing w:before="0" w:after="283"/>
              <w:jc w:val="both"/>
              <w:rPr/>
            </w:pPr>
            <w:r>
              <w:rPr/>
              <w:t>The Company has unrestricted corporate capacity. Without limitation to the foregoing, as provided by section 27(2) of the Companies Act (Revised), the Company has and is capable of exercising all the functions of a natural person of full capacity irrespective of any question of corporate benefit.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5</w:t>
            </w:r>
          </w:p>
        </w:tc>
        <w:tc>
          <w:tcPr>
            <w:tcW w:w="10042" w:type="dxa"/>
            <w:tcBorders/>
            <w:vAlign w:val="center"/>
          </w:tcPr>
          <w:p>
            <w:pPr>
              <w:pStyle w:val="TableContents"/>
              <w:bidi w:val="0"/>
              <w:spacing w:before="0" w:after="283"/>
              <w:jc w:val="both"/>
              <w:rPr/>
            </w:pPr>
            <w:r>
              <w:rPr/>
              <w:t>Nothing in any of the preceding paragraphs permits the Company to carry on any of the following businesses without being duly licensed, namely: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the business of a bank or trust company without being licensed in that behalf under the Banks and Trust Companies Act (Revised);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insurance business from within the Cayman Islands or the business of an insurance manager, agent, sub-agent or broker without being licensed in that behalf under the Insurance Act (Revised);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(c)</w:t>
            </w:r>
          </w:p>
        </w:tc>
        <w:tc>
          <w:tcPr>
            <w:tcW w:w="9907" w:type="dxa"/>
            <w:tcBorders/>
            <w:vAlign w:val="center"/>
          </w:tcPr>
          <w:p>
            <w:pPr>
              <w:pStyle w:val="TableContents"/>
              <w:bidi w:val="0"/>
              <w:spacing w:before="0" w:after="283"/>
              <w:jc w:val="both"/>
              <w:rPr/>
            </w:pPr>
            <w:r>
              <w:rPr/>
              <w:t>the business of company management without being licensed in that behalf under the Companies Management Act (Revised).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6</w:t>
            </w:r>
          </w:p>
        </w:tc>
        <w:tc>
          <w:tcPr>
            <w:tcW w:w="10042" w:type="dxa"/>
            <w:tcBorders/>
            <w:vAlign w:val="center"/>
          </w:tcPr>
          <w:p>
            <w:pPr>
              <w:pStyle w:val="TableContents"/>
              <w:bidi w:val="0"/>
              <w:spacing w:before="0" w:after="283"/>
              <w:jc w:val="both"/>
              <w:rPr/>
            </w:pPr>
            <w:r>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7</w:t>
            </w:r>
          </w:p>
        </w:tc>
        <w:tc>
          <w:tcPr>
            <w:tcW w:w="10042" w:type="dxa"/>
            <w:tcBorders/>
            <w:vAlign w:val="center"/>
          </w:tcPr>
          <w:p>
            <w:pPr>
              <w:pStyle w:val="TableContents"/>
              <w:bidi w:val="0"/>
              <w:spacing w:before="0" w:after="283"/>
              <w:jc w:val="both"/>
              <w:rPr/>
            </w:pPr>
            <w:r>
              <w:rPr/>
              <w:t>The Company is a company limited by shares and accordingly the liability of each member is limited to the amount (if any) unpaid on that member's shares.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8</w:t>
            </w:r>
          </w:p>
        </w:tc>
        <w:tc>
          <w:tcPr>
            <w:tcW w:w="10042" w:type="dxa"/>
            <w:tcBorders/>
            <w:vAlign w:val="center"/>
          </w:tcPr>
          <w:p>
            <w:pPr>
              <w:pStyle w:val="TableContents"/>
              <w:bidi w:val="0"/>
              <w:spacing w:before="0" w:after="283"/>
              <w:jc w:val="both"/>
              <w:rPr/>
            </w:pPr>
            <w:r>
              <w:rPr/>
              <w:t>The share capital of the Company is US$41,250 divided into 411,000,000,000 Class A ordinary shares of US$0.0000001 par value each and 1,500,000,000 Class B ordinary Shares of US$0.0000001 par value each. Subject to the Companies Act (Revised) and the Company's articles of association, the Company has power to do any one or more of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7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340" w:type="dxa"/>
            <w:tcBorders/>
            <w:vAlign w:val="center"/>
          </w:tcPr>
          <w:p>
            <w:pPr>
              <w:pStyle w:val="TableContents"/>
              <w:bidi w:val="0"/>
              <w:spacing w:before="0" w:after="283"/>
              <w:jc w:val="both"/>
              <w:rPr/>
            </w:pPr>
            <w:r>
              <w:rPr/>
              <w:t>to redeem or repurchase any of its shares; and</w:t>
            </w:r>
          </w:p>
        </w:tc>
      </w:tr>
    </w:tbl>
    <w:p>
      <w:pPr>
        <w:pStyle w:val="TextBody"/>
        <w:bidi w:val="0"/>
        <w:spacing w:before="0" w:after="0"/>
        <w:ind w:left="1418" w:right="0" w:hanging="709"/>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29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395" w:type="dxa"/>
            <w:tcBorders/>
            <w:vAlign w:val="center"/>
          </w:tcPr>
          <w:p>
            <w:pPr>
              <w:pStyle w:val="TableContents"/>
              <w:bidi w:val="0"/>
              <w:spacing w:before="0" w:after="283"/>
              <w:jc w:val="both"/>
              <w:rPr/>
            </w:pPr>
            <w:r>
              <w:rPr/>
              <w:t>to increase or reduce its capital; and</w:t>
            </w:r>
          </w:p>
        </w:tc>
      </w:tr>
    </w:tbl>
    <w:p>
      <w:pPr>
        <w:pStyle w:val="TextBody"/>
        <w:bidi w:val="0"/>
        <w:spacing w:before="0" w:after="0"/>
        <w:ind w:left="1418" w:right="0" w:hanging="709"/>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7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685" w:type="dxa"/>
            <w:tcBorders/>
            <w:vAlign w:val="center"/>
          </w:tcPr>
          <w:p>
            <w:pPr>
              <w:pStyle w:val="TableContents"/>
              <w:bidi w:val="0"/>
              <w:spacing w:before="0" w:after="283"/>
              <w:jc w:val="both"/>
              <w:rPr/>
            </w:pPr>
            <w:r>
              <w:rPr/>
              <w:t>to issue any part of its capital (whether original, redeemed, increased or reduced):</w:t>
            </w:r>
          </w:p>
        </w:tc>
      </w:tr>
    </w:tbl>
    <w:p>
      <w:pPr>
        <w:pStyle w:val="TextBody"/>
        <w:bidi w:val="0"/>
        <w:spacing w:before="0" w:after="0"/>
        <w:ind w:left="2126" w:right="0" w:hanging="708"/>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23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050" w:type="dxa"/>
            <w:tcBorders/>
            <w:vAlign w:val="center"/>
          </w:tcPr>
          <w:p>
            <w:pPr>
              <w:pStyle w:val="TableContents"/>
              <w:bidi w:val="0"/>
              <w:spacing w:before="0" w:after="283"/>
              <w:jc w:val="both"/>
              <w:rPr/>
            </w:pPr>
            <w:r>
              <w:rPr/>
              <w:t>with or without any preferential, deferred, qualified or special rights, privileges or conditions; or</w:t>
            </w:r>
          </w:p>
        </w:tc>
      </w:tr>
    </w:tbl>
    <w:p>
      <w:pPr>
        <w:pStyle w:val="TextBody"/>
        <w:bidi w:val="0"/>
        <w:spacing w:before="0" w:after="0"/>
        <w:ind w:left="2126" w:right="0" w:hanging="708"/>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9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3710" w:type="dxa"/>
            <w:tcBorders/>
            <w:vAlign w:val="center"/>
          </w:tcPr>
          <w:p>
            <w:pPr>
              <w:pStyle w:val="TableContents"/>
              <w:bidi w:val="0"/>
              <w:spacing w:before="0" w:after="283"/>
              <w:jc w:val="both"/>
              <w:rPr/>
            </w:pPr>
            <w:r>
              <w:rPr/>
              <w:t>subject to any limitations or restrictions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418" w:right="0" w:hanging="709"/>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9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100" w:type="dxa"/>
            <w:tcBorders/>
            <w:vAlign w:val="center"/>
          </w:tcPr>
          <w:p>
            <w:pPr>
              <w:pStyle w:val="TableContents"/>
              <w:bidi w:val="0"/>
              <w:spacing w:before="0" w:after="283"/>
              <w:jc w:val="both"/>
              <w:rPr/>
            </w:pPr>
            <w:r>
              <w:rPr/>
              <w:t>to alter any of those rights, privileges, conditions, limitations or restrictions.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9</w:t>
            </w:r>
          </w:p>
        </w:tc>
        <w:tc>
          <w:tcPr>
            <w:tcW w:w="10042" w:type="dxa"/>
            <w:tcBorders/>
            <w:vAlign w:val="center"/>
          </w:tcPr>
          <w:p>
            <w:pPr>
              <w:pStyle w:val="TableContents"/>
              <w:bidi w:val="0"/>
              <w:spacing w:before="0" w:after="283"/>
              <w:jc w:val="both"/>
              <w:rPr/>
            </w:pPr>
            <w:r>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84"/>
        <w:gridCol w:w="4110"/>
        <w:gridCol w:w="84"/>
      </w:tblGrid>
      <w:tr>
        <w:trPr/>
        <w:tc>
          <w:tcPr>
            <w:tcW w:w="4278"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ableContents"/>
              <w:bidi w:val="0"/>
              <w:spacing w:before="0" w:after="0"/>
              <w:ind w:left="0" w:right="0" w:hanging="0"/>
              <w:jc w:val="both"/>
              <w:rPr>
                <w:caps w:val="false"/>
                <w:smallCaps w:val="false"/>
              </w:rPr>
            </w:pPr>
            <w:r>
              <w:rPr>
                <w:caps w:val="false"/>
                <w:smallCaps w:val="false"/>
              </w:rPr>
              <w:t> </w:t>
            </w:r>
          </w:p>
        </w:tc>
      </w:tr>
      <w:tr>
        <w:trPr/>
        <w:tc>
          <w:tcPr>
            <w:tcW w:w="4278" w:type="dxa"/>
            <w:gridSpan w:val="3"/>
            <w:tcBorders/>
            <w:vAlign w:val="center"/>
          </w:tcPr>
          <w:p>
            <w:pPr>
              <w:pStyle w:val="TableContents"/>
              <w:bidi w:val="0"/>
              <w:spacing w:before="0" w:after="283"/>
              <w:jc w:val="center"/>
              <w:rPr/>
            </w:pPr>
            <w:r>
              <w:rPr/>
              <w:t> </w:t>
            </w:r>
          </w:p>
        </w:tc>
      </w:tr>
      <w:tr>
        <w:trPr/>
        <w:tc>
          <w:tcPr>
            <w:tcW w:w="84" w:type="dxa"/>
            <w:tcBorders/>
            <w:vAlign w:val="center"/>
          </w:tcPr>
          <w:p>
            <w:pPr>
              <w:pStyle w:val="TableContents"/>
              <w:bidi w:val="0"/>
              <w:spacing w:before="0" w:after="283"/>
              <w:jc w:val="center"/>
              <w:rPr/>
            </w:pPr>
            <w:r>
              <w:rPr/>
              <w:t> </w:t>
            </w:r>
          </w:p>
        </w:tc>
        <w:tc>
          <w:tcPr>
            <w:tcW w:w="411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br/>
              <w:t>Articles of Association</w:t>
              <w:br/>
              <w:t>of</w:t>
              <w:br/>
              <w:t>Chanson International Holding</w:t>
            </w:r>
          </w:p>
          <w:p>
            <w:pPr>
              <w:pStyle w:val="TableContents"/>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tc>
        <w:tc>
          <w:tcPr>
            <w:tcW w:w="84" w:type="dxa"/>
            <w:tcBorders/>
            <w:vAlign w:val="center"/>
          </w:tcPr>
          <w:p>
            <w:pPr>
              <w:pStyle w:val="TableContents"/>
              <w:bidi w:val="0"/>
              <w:spacing w:before="0" w:after="283"/>
              <w:jc w:val="center"/>
              <w:rPr/>
            </w:pPr>
            <w:r>
              <w:rPr/>
              <w:t> </w:t>
            </w:r>
          </w:p>
        </w:tc>
      </w:tr>
      <w:tr>
        <w:trPr/>
        <w:tc>
          <w:tcPr>
            <w:tcW w:w="4278" w:type="dxa"/>
            <w:gridSpan w:val="3"/>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center"/>
        <w:rPr>
          <w:caps/>
        </w:rPr>
      </w:pPr>
      <w:r>
        <w:rPr>
          <w:caps/>
        </w:rPr>
        <w:t> </w:t>
      </w:r>
    </w:p>
    <w:tbl>
      <w:tblPr>
        <w:tblW w:w="7215" w:type="dxa"/>
        <w:jc w:val="left"/>
        <w:tblInd w:w="0" w:type="dxa"/>
        <w:tblLayout w:type="fixed"/>
        <w:tblCellMar>
          <w:top w:w="0" w:type="dxa"/>
          <w:left w:w="0" w:type="dxa"/>
          <w:bottom w:w="0" w:type="dxa"/>
          <w:right w:w="0" w:type="dxa"/>
        </w:tblCellMar>
      </w:tblPr>
      <w:tblGrid>
        <w:gridCol w:w="140"/>
        <w:gridCol w:w="6830"/>
        <w:gridCol w:w="24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Exclusion of Table A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Shares and options, with or without special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commissions and brokerage fees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Trusts not recognised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interests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vary class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new Share issue on existing class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bearer Shares or warrants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attaching to Treasury Shares and related matters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of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Return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certificates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of share certificates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Renewal of lost or damaged share certificates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Lien on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and scope of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sell Shares to satisfy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to execute instrument of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sale of Shares to satisfy lien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proceeds of sale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Calls on Shares and forfeiture</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calls and effect of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when call made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of 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unpaid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Deemed calls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accept early payment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different arrangements at time of issue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 or surrender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Disposal of forfeited or surrendered Share and power to cancel forfeiture or surrender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forfeiture or surrender on former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forfeiture or surrender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forfeited or surrendered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of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Suspension of transfers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retain instrument of transfer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refusal to register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6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Transmission of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on death of a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transfer of a Share following death or bankruptcy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4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person entitled to a Share following death or bankruptcy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45" w:type="dxa"/>
        <w:jc w:val="left"/>
        <w:tblInd w:w="0" w:type="dxa"/>
        <w:tblLayout w:type="fixed"/>
        <w:tblCellMar>
          <w:top w:w="0" w:type="dxa"/>
          <w:left w:w="0" w:type="dxa"/>
          <w:bottom w:w="0" w:type="dxa"/>
          <w:right w:w="0" w:type="dxa"/>
        </w:tblCellMar>
      </w:tblPr>
      <w:tblGrid>
        <w:gridCol w:w="245"/>
        <w:gridCol w:w="6155"/>
        <w:gridCol w:w="24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Alteration of capital</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Increasing, consolidating, converting, dividing and cancelling share capital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Dealing with fractions resulting from consolidation of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Reducing share capital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and purchase of own Shares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redeemable Shares and to purchase own Shares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for redemption or purchase in cash or in specie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redemption or purchase of a Share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Conversions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and extraordinary general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call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Content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receive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Accidental omission to give notice or non-receipt of notice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Proceedings at meetings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Lack of 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a Director to attend and speak</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Accommodation of Members at meeting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Adjournment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voting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Outcome of vote by show of hands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of demand for a poll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Taking of a poll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Chairman’s casting vote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Sole-Member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 of Members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vote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 of corporate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with mental disorder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Objections to admissibility of votes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proxy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and when proxy is to be delivered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by proxy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Appointment, disqualification and removal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age limit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shareholding qualification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120" w:type="dxa"/>
        <w:jc w:val="left"/>
        <w:tblInd w:w="0" w:type="dxa"/>
        <w:tblLayout w:type="fixed"/>
        <w:tblCellMar>
          <w:top w:w="0" w:type="dxa"/>
          <w:left w:w="0" w:type="dxa"/>
          <w:bottom w:w="0" w:type="dxa"/>
          <w:right w:w="0" w:type="dxa"/>
        </w:tblCellMar>
      </w:tblPr>
      <w:tblGrid>
        <w:gridCol w:w="245"/>
        <w:gridCol w:w="5630"/>
        <w:gridCol w:w="245"/>
      </w:tblGrid>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Board’s power to appoint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at annual general meeting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the office of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Alternate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removal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alternate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ceases when the appointor ceases to be a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alternate Director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the Director making the appointment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Powers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below the minimum number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 to office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for employees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voting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Remuneration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of information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powers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delegate any of the Directors’ powers to a committee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boards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agent of the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attorney or authorised signatory of the Company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Powers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Directors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 of Directors’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Calling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meetings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technology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or deputy to preside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Recording of dissent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acts of Directors in spite of formal defect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Permissible Directors’ interests and disclosure</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Minutes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and audit</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5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dividends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4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Declaration of dividends by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60" w:type="dxa"/>
        <w:jc w:val="left"/>
        <w:tblInd w:w="0" w:type="dxa"/>
        <w:tblLayout w:type="fixed"/>
        <w:tblCellMar>
          <w:top w:w="0" w:type="dxa"/>
          <w:left w:w="0" w:type="dxa"/>
          <w:bottom w:w="0" w:type="dxa"/>
          <w:right w:w="0" w:type="dxa"/>
        </w:tblCellMar>
      </w:tblPr>
      <w:tblGrid>
        <w:gridCol w:w="245"/>
        <w:gridCol w:w="7970"/>
        <w:gridCol w:w="245"/>
      </w:tblGrid>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interim dividends and declaration of final dividends by Directors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Apportionment of dividends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 off</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other than in cash</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payments may be made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or other monies not to bear interest in absence of special rights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unable to be paid or unclaimed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Capitalisation of profits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Capitalisation of profits or of any share premium account or capital redemption reserve;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Applying an amount for the benefit of Members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Premium Account</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to maintain share premium account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Debits to share premium account</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Seal</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Duplicate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and how seal is to be used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seal is adopted or used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allow non-manual signatures and facsimile printing of seal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execution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communications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authorised to give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written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holders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Giving notice to a deceased or bankrupt Member</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giving notices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Authentication of Electronic Records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documents sent by Members by Electronic means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 sent by the Secretary or Officers of the Company by Electronic means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signing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by way of continuation</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Winding up</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assets in specie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obligation to accept liability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7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 of Memorandum and Articles</w:t>
            </w:r>
          </w:p>
        </w:tc>
        <w:tc>
          <w:tcPr>
            <w:tcW w:w="2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change name or amend Memorandum</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4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amend these Articles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b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Chanson International Holding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香颂国际控股公司</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2026)</w:t>
      </w:r>
    </w:p>
    <w:p>
      <w:pPr>
        <w:pStyle w:val="TextBody"/>
        <w:bidi w:val="0"/>
        <w:spacing w:before="0" w:after="0"/>
        <w:ind w:left="0" w:right="0" w:hanging="0"/>
        <w:jc w:val="center"/>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2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7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xml:space="preserve"> means an American depository share representing a Share;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709" w:right="0" w:hanging="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w:t>
      </w:r>
      <w:r>
        <w:rPr>
          <w:rFonts w:ascii="Times New Roman;Times;Serif" w:hAnsi="Times New Roman;Times;Serif"/>
          <w:b w:val="false"/>
          <w:i w:val="false"/>
          <w:caps w:val="false"/>
          <w:smallCaps w:val="false"/>
          <w:sz w:val="20"/>
        </w:rPr>
        <w:t xml:space="preserve"> means a Class A ordinary share of a par value of US$0.0000001 in the share capital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w:t>
      </w:r>
      <w:r>
        <w:rPr>
          <w:rFonts w:ascii="Times New Roman;Times;Serif" w:hAnsi="Times New Roman;Times;Serif"/>
          <w:b w:val="false"/>
          <w:i w:val="false"/>
          <w:caps w:val="false"/>
          <w:smallCaps w:val="false"/>
          <w:sz w:val="20"/>
        </w:rPr>
        <w:t xml:space="preserve"> means a Class B ordinary share of a par value of US$0.0000001 in the share capital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09"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Nasdaq Capital Market in the United States of America for so long as the Company’s Shares or ADSs are there listed and any other stock exchange on which the Company’s Shares or ADSs are listed for trading;</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or ADSs on the Designated Stock Exchanges;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Members who (being entitled to do so) vote in person or by proxy at that meeting. The expression includes a unanimous written resolution;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lineRule="auto" w:line="288"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Class A Ordinary Share or a Class B Ordinary Share in the capital of the Company and the expression:</w:t>
      </w:r>
    </w:p>
    <w:p>
      <w:pPr>
        <w:pStyle w:val="TextBody"/>
        <w:bidi w:val="0"/>
        <w:spacing w:before="0" w:after="0"/>
        <w:ind w:left="709"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Law and Article 2.12; and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275"/>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Law of the Cayman Islands is taken to be a reference to the revision of that Law in force from time to time as amended from time to time.</w:t>
      </w:r>
    </w:p>
    <w:p>
      <w:pPr>
        <w:pStyle w:val="TextBody"/>
        <w:bidi w:val="0"/>
        <w:spacing w:before="0" w:after="0"/>
        <w:ind w:left="1418"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7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Law and any other regulations contained in any statute or subordinate legislation are expressly excluded and do not apply to the Company.</w:t>
            </w:r>
          </w:p>
        </w:tc>
      </w:tr>
    </w:tbl>
    <w:p>
      <w:pPr>
        <w:pStyle w:val="TextBody"/>
        <w:bidi w:val="0"/>
        <w:spacing w:before="0" w:after="0"/>
        <w:jc w:val="left"/>
        <w:rPr>
          <w:caps w:val="false"/>
          <w:smallCaps w:val="false"/>
        </w:rPr>
      </w:pPr>
      <w:r>
        <w:rPr>
          <w:caps w:val="false"/>
          <w:smallCaps w:val="false"/>
        </w:rPr>
        <w:t> </w:t>
      </w:r>
    </w:p>
    <w:tbl>
      <w:tblPr>
        <w:tblW w:w="768" w:type="dxa"/>
        <w:jc w:val="left"/>
        <w:tblInd w:w="0" w:type="dxa"/>
        <w:tblLayout w:type="fixed"/>
        <w:tblCellMar>
          <w:top w:w="0" w:type="dxa"/>
          <w:left w:w="0" w:type="dxa"/>
          <w:bottom w:w="0" w:type="dxa"/>
          <w:right w:w="0" w:type="dxa"/>
        </w:tblCellMar>
      </w:tblPr>
      <w:tblGrid>
        <w:gridCol w:w="38"/>
        <w:gridCol w:w="125"/>
        <w:gridCol w:w="6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Law.</w:t>
            </w:r>
          </w:p>
        </w:tc>
      </w:tr>
    </w:tbl>
    <w:p>
      <w:pPr>
        <w:pStyle w:val="TextBody"/>
        <w:bidi w:val="0"/>
        <w:spacing w:before="0" w:after="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27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275"/>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3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jc w:val="lef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09"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7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7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jc w:val="left"/>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2.8(b), all the provisions of these Articles relating to general meetings apply, mutatis mutandis, to every such separate meeting except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the issued Shares of the class;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38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Law shall be held as Treasury Shares and not treated as cancelled if:</w:t>
            </w:r>
          </w:p>
        </w:tc>
      </w:tr>
    </w:tbl>
    <w:p>
      <w:pPr>
        <w:pStyle w:val="TextBody"/>
        <w:bidi w:val="0"/>
        <w:spacing w:before="0" w:after="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4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Law are otherwise complied 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38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2.14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Law and otherwise on such terms and conditions as the Directors determine.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Law and may cause the Company to maintain one or more branch registers as contemplated by the Law,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Law and shall deliver a copy thereof to the registrar of companies for the Cayman Islands.</w:t>
            </w:r>
          </w:p>
        </w:tc>
      </w:tr>
    </w:tbl>
    <w:p>
      <w:pPr>
        <w:pStyle w:val="TextBody"/>
        <w:bidi w:val="0"/>
        <w:spacing w:before="0" w:after="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25"/>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75"/>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7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jc w:val="left"/>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09"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2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27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275"/>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09"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7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27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 but, in either case, subject to the Company retaining a like lien for all sums not presently payable as existed on the Lien Default Shares before the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B-10</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2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7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jc w:val="left"/>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38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38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jc w:val="lef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25"/>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jc w:val="left"/>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a Member until the name of the transferee is entered in the register of Members in respect of the relevant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Shares which is not Fully Paid Up or on which the Company has a lien. The Directors may also, but are not required to, decline to register any transfer of any Share unless: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75"/>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25"/>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jc w:val="left"/>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7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27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275"/>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125"/>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Law, the Company may by Ordinary Resolution do any of the following and amend its Memorandum for that purpose: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Law, the Company); and</w:t>
            </w:r>
          </w:p>
        </w:tc>
      </w:tr>
    </w:tbl>
    <w:p>
      <w:pPr>
        <w:pStyle w:val="TextBody"/>
        <w:bidi w:val="0"/>
        <w:spacing w:before="0" w:after="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Special Resolution, reduce its share capital in any way.</w:t>
            </w:r>
          </w:p>
        </w:tc>
      </w:tr>
    </w:tbl>
    <w:p>
      <w:pPr>
        <w:pStyle w:val="TextBody"/>
        <w:bidi w:val="0"/>
        <w:spacing w:before="0" w:after="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25"/>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its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Law, including out of any combination of the following: capital, its profits and the proceeds of a fresh issue of Shares.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275"/>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jc w:val="left"/>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Conversions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tc>
      </w:tr>
    </w:tbl>
    <w:p>
      <w:pPr>
        <w:pStyle w:val="TextBody"/>
        <w:bidi w:val="0"/>
        <w:spacing w:before="0" w:after="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3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38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38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38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per cent of the rights to vote at such general meeting.</w:t>
            </w:r>
          </w:p>
        </w:tc>
      </w:tr>
    </w:tbl>
    <w:p>
      <w:pPr>
        <w:pStyle w:val="TextBody"/>
        <w:bidi w:val="0"/>
        <w:spacing w:before="0" w:after="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38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485"/>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48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the requirements of (to the extent applicable) the Designated Stock Exchange Rules, the general nature of the business to be transacted; and</w:t>
            </w:r>
          </w:p>
        </w:tc>
      </w:tr>
    </w:tbl>
    <w:p>
      <w:pPr>
        <w:pStyle w:val="TextBody"/>
        <w:bidi w:val="0"/>
        <w:spacing w:before="0" w:after="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48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twenty-one Clear Days’ notice of an annual general meeting must be given to Members. For any other general meeting, at least fourteen Clear Days’ notice must be given to Members.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 meeting may be convened on shorter notice, subject to the Law with the consent of the Member or Members who, individually or collectively, hold at least ninety per cent of the voting rights of all those who have a right to vote at that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245"/>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48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23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Law, a poll may be demanded:</w:t>
            </w:r>
          </w:p>
        </w:tc>
      </w:tr>
    </w:tbl>
    <w:p>
      <w:pPr>
        <w:pStyle w:val="TextBody"/>
        <w:bidi w:val="0"/>
        <w:spacing w:before="0" w:after="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w:t>
            </w:r>
          </w:p>
        </w:tc>
      </w:tr>
    </w:tbl>
    <w:p>
      <w:pPr>
        <w:pStyle w:val="TextBody"/>
        <w:bidi w:val="0"/>
        <w:spacing w:before="0" w:after="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two Members having the right to vote on the resolutions;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Member or Members present who, individually or collectively, hold at least ten per cent of the voting rights of all those who have a right to vote on the resolution.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Outcome of vote by show of hands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demand for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48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48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 resolution in writing without holding a meeting if the following conditions are met: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are given notice of the resolution as if the same were being proposed at a meeting of Members;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Members entitled so to vote;</w:t>
            </w:r>
          </w:p>
        </w:tc>
      </w:tr>
    </w:tbl>
    <w:p>
      <w:pPr>
        <w:pStyle w:val="TextBody"/>
        <w:bidi w:val="0"/>
        <w:spacing w:before="0" w:after="0"/>
        <w:ind w:left="0"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a document; or</w:t>
            </w:r>
          </w:p>
        </w:tc>
      </w:tr>
    </w:tbl>
    <w:p>
      <w:pPr>
        <w:pStyle w:val="TextBody"/>
        <w:bidi w:val="0"/>
        <w:spacing w:before="0" w:after="0"/>
        <w:ind w:left="2126"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several documents in the like form each signed by one or more of those Members;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written resolution shall be as effective as if it had been passed at a meeting of the Members entitled to vote duly convened and held.</w:t>
            </w:r>
          </w:p>
        </w:tc>
      </w:tr>
    </w:tbl>
    <w:p>
      <w:pPr>
        <w:pStyle w:val="TextBody"/>
        <w:bidi w:val="0"/>
        <w:spacing w:before="0" w:after="0"/>
        <w:ind w:left="1418" w:right="0" w:hanging="709"/>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485"/>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11.19</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written resolution is described as a Special Resolution or as an Ordinary Resolution, it has effect accordingly.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09" w:right="0" w:hanging="709"/>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3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Members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of an Ordinary Share shall (in respect of such Ordinary Share) have the right to receive notice of, attend at and vote as a Member at any general meeting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holder of Ordinary Shares shall, on a poll, be entitled to one vote for each Share he or she holds save that each holder of Class B Ordinary Shares shall, on a poll, be entitled to exercise eighty (80) votes for each Class B Ordinary Share he or she holds on any and all matters.</w:t>
            </w:r>
          </w:p>
        </w:tc>
      </w:tr>
    </w:tbl>
    <w:p>
      <w:pPr>
        <w:pStyle w:val="TextBody"/>
        <w:bidi w:val="0"/>
        <w:spacing w:before="0" w:after="0"/>
        <w:ind w:left="709" w:right="0" w:hanging="709"/>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38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12.4</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Members may vote in person or by proxy.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show of hands, every Member shall have one vote. For the avoidance of doubt, an individual who represents two or more Members, including a Member in that individual’s own right, that individual shall be entitled to a separate vote for each Member.</w:t>
            </w:r>
          </w:p>
        </w:tc>
      </w:tr>
    </w:tbl>
    <w:p>
      <w:pPr>
        <w:pStyle w:val="TextBody"/>
        <w:bidi w:val="0"/>
        <w:spacing w:before="0" w:after="0"/>
        <w:ind w:left="709" w:right="0" w:hanging="709"/>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38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12.6</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is bound to vote on his Shares or any of them; nor is he bound to vote each of his Shares in the same way.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B-25</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38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12.8</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provided, a corporate Member must act by a duly authorised representative.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wishing to act by a duly authorised representative must identify that person to the Company by notice in writing.</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authorisation may be for any period of time, and must be delivered to the Company before the commencement of the meeting at which it is first used.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may require the production of any evidence which they consider necessary to determine the validity of the notice.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12.13</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Times;Serif" w:hAnsi="Times New Roman;Times;Serif"/>
                <w:i/>
                <w:sz w:val="20"/>
              </w:rPr>
              <w:t>curator bonis</w:t>
            </w:r>
            <w:r>
              <w:rPr>
                <w:rFonts w:ascii="Times New Roman;Times;Serif" w:hAnsi="Times New Roman;Times;Serif"/>
                <w:sz w:val="20"/>
              </w:rPr>
              <w:t xml:space="preserve"> or other person authorised in that behalf appointed by that court.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B-26</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48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12.17</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instrument appointing a proxy shall be in any common form or in any other form approved by the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485"/>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12.18</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must be in writing and signed in one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Member; or</w:t>
            </w:r>
          </w:p>
        </w:tc>
      </w:tr>
    </w:tbl>
    <w:p>
      <w:pPr>
        <w:pStyle w:val="TextBody"/>
        <w:bidi w:val="0"/>
        <w:spacing w:before="0" w:after="0"/>
        <w:ind w:left="1418" w:right="0" w:hanging="709"/>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Member’s authorised attorney; or</w:t>
            </w:r>
          </w:p>
        </w:tc>
      </w:tr>
    </w:tbl>
    <w:p>
      <w:pPr>
        <w:pStyle w:val="TextBody"/>
        <w:bidi w:val="0"/>
        <w:spacing w:before="0" w:after="0"/>
        <w:ind w:left="1418" w:right="0" w:hanging="709"/>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 is a corporation or other body corporate, under seal or signed by an authorised officer, secretary or attorney.</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12.19</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require the production of any evidence which they consider necessary to determine the validity of any appointment of a proxy.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may revoke the appointment of a proxy at any time by notice to the Company duly signed in accordance with Article 12.18.</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revocation by a Member of the appointment of a proxy made in accordance with Article 12.20 will affect the validity of any acts carried out by the relevant proxy before the Directors of the Company had actual notice of the revocation.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an instrument in writing, it must be left at or sent by post:</w:t>
            </w:r>
          </w:p>
        </w:tc>
      </w:tr>
    </w:tbl>
    <w:p>
      <w:pPr>
        <w:pStyle w:val="TextBody"/>
        <w:bidi w:val="0"/>
        <w:spacing w:before="0" w:after="0"/>
        <w:ind w:left="1418" w:right="0" w:hanging="709"/>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registered office of the Company;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26"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B-27</w:t>
      </w:r>
    </w:p>
    <w:p>
      <w:pPr>
        <w:pStyle w:val="TextBody"/>
        <w:bidi w:val="0"/>
        <w:spacing w:before="0" w:after="0"/>
        <w:ind w:left="0" w:right="0" w:hanging="0"/>
        <w:jc w:val="left"/>
        <w:rPr/>
      </w:pPr>
      <w:r>
        <w:rPr/>
        <w:t> </w:t>
      </w:r>
    </w:p>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18" w:right="0" w:hanging="709"/>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notice convening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form of appointment of a proxy sent out by the Company in relation to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invitation to appoint a proxy issued by the Company in relation to the meeting.</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Article 12.22(a) and Article 12.22(b), the chairman of the Company may, in any event at his discretion, direct that an instrument of proxy shall be deemed to have been duly deposited.</w:t>
            </w:r>
          </w:p>
        </w:tc>
      </w:tr>
    </w:tbl>
    <w:p>
      <w:pPr>
        <w:pStyle w:val="TextBody"/>
        <w:bidi w:val="0"/>
        <w:spacing w:before="0" w:after="0"/>
        <w:ind w:left="1418" w:right="0" w:hanging="709"/>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485"/>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12.23</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poll is taken: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taken more than seven Clear Days after it is demanded, the form of appointment of a proxy and any accompanying authority (or an Electronic Record of the same) must be delivered in accordance with Article 12.22 before the time appointed for the taking of the poll;</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to be taken within seven Clear Days after it was demanded, the form of appointment of a proxy and any accompanying authority (or an Electronic Record of the same) must be delivered in accordance with Article 12.22 before the time appointed for the taking of the poll.</w:t>
            </w:r>
          </w:p>
        </w:tc>
      </w:tr>
    </w:tbl>
    <w:p>
      <w:pPr>
        <w:pStyle w:val="TextBody"/>
        <w:bidi w:val="0"/>
        <w:spacing w:before="0" w:after="0"/>
        <w:ind w:left="1418" w:right="0" w:hanging="709"/>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48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12.24</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form of appointment of proxy is not delivered on time, it is invalid.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12.27</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12.28</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B-28</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3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09" w:right="0" w:hanging="709"/>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3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disqualification and removal of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first Directors shall be appointed in writing by the subscriber or subscribers to the Memorandum, or a majority of them.</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38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no age limit for Directors save that they must be at least eighteen years of age.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a shareholding qualification for Directors is fixed by Ordinary Resolution, no Director shall be required to own Shares as a condition of his appointment.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appointed by Ordinary Resolution or by the Directors. Any appointment may be to fill a vacancy or as an additional Director.</w:t>
            </w:r>
          </w:p>
        </w:tc>
      </w:tr>
    </w:tbl>
    <w:p>
      <w:pPr>
        <w:pStyle w:val="TextBody"/>
        <w:bidi w:val="0"/>
        <w:spacing w:before="0" w:after="0"/>
        <w:ind w:left="709" w:right="0" w:hanging="709"/>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38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14.6</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remaining Director may appoint a Director even though there is not a quorum of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appointment can cause the number of Directors to exceed the maximum (if one is set); and any such appointment shall be invalid.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Shares or ADSs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so appointed shall, if still a Director, retire at the next annual general meeting after his appointment and be eligible to stand for election as a Director at such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B-29</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(other than a Director retiring in accordance with these Articles) shall be appointed or re-appointed a Director at any general meeting unless:</w:t>
            </w:r>
          </w:p>
        </w:tc>
      </w:tr>
    </w:tbl>
    <w:p>
      <w:pPr>
        <w:pStyle w:val="TextBody"/>
        <w:bidi w:val="0"/>
        <w:spacing w:before="0" w:after="0"/>
        <w:ind w:left="709" w:right="0" w:hanging="709"/>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3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recommended by the Board;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at annual general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re-appointed pursuant to the provisions of Article 14.5 or removed from office pursuant to the provisions of Article 14.13, each Director shall be appointed for a term expiring at the next-following annual general meeting of the Company. At any such annual general meeting, Directors will be elected by Ordinary Resolution. At each annual general meeting of the Company, each Director elected at such meeting shall be elected to hold office for a one-year term and until the election of their respective successors in office or removal pursuant to Articles 14.5 and 14.13.</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48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14.13</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removed by Ordinary Resolution.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notice specifies a different date, the Director shall be deemed to have resigned on the date that the notice is delivered to the Company.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B-30</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14.17</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provisions in these Articles for retirement (by rotation or otherwise), a Director’s office shall be terminated forthwith if:</w:t>
            </w:r>
          </w:p>
        </w:tc>
      </w:tr>
    </w:tbl>
    <w:p>
      <w:pPr>
        <w:pStyle w:val="TextBody"/>
        <w:bidi w:val="0"/>
        <w:spacing w:before="0" w:after="0"/>
        <w:ind w:left="709" w:right="0" w:hanging="709"/>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prohibited by the law of the Cayman Islands from acting as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bankrupt or makes an arrangement or composition with his creditors generally; or</w:t>
            </w:r>
          </w:p>
        </w:tc>
      </w:tr>
    </w:tbl>
    <w:p>
      <w:pPr>
        <w:pStyle w:val="TextBody"/>
        <w:bidi w:val="0"/>
        <w:spacing w:before="0" w:after="0"/>
        <w:ind w:left="1418" w:right="0" w:hanging="709"/>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resigns his office by notice to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only held office as a Director for a fixed term and such term expires;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opinion of a registered medical practitioner by whom he is being treated he becomes physically or mentally incapable of acting as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subject to any law relating to mental health or incompetence, whether by court order or otherwise; or</w:t>
            </w:r>
          </w:p>
        </w:tc>
      </w:tr>
    </w:tbl>
    <w:p>
      <w:pPr>
        <w:pStyle w:val="TextBody"/>
        <w:bidi w:val="0"/>
        <w:spacing w:before="0" w:after="0"/>
        <w:ind w:left="1418" w:right="0" w:hanging="709"/>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the consent of the other Directors, he is absent from meetings of Directors for a continuous period of six months.</w:t>
            </w:r>
          </w:p>
        </w:tc>
      </w:tr>
    </w:tbl>
    <w:p>
      <w:pPr>
        <w:pStyle w:val="TextBody"/>
        <w:bidi w:val="0"/>
        <w:spacing w:before="0" w:after="0"/>
        <w:ind w:left="1418" w:right="0" w:hanging="709"/>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23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Alternate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of appointment or removal of an alternate Director shall be effective only if given to the Company by one or more of the following methods:</w:t>
            </w:r>
          </w:p>
        </w:tc>
      </w:tr>
    </w:tbl>
    <w:p>
      <w:pPr>
        <w:pStyle w:val="TextBody"/>
        <w:bidi w:val="0"/>
        <w:spacing w:before="0" w:after="0"/>
        <w:ind w:left="709" w:right="0" w:hanging="709"/>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notice in writing in accordance with the notice provisions contained in these Articles;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B-31</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permitted pursuant to the notice provisions, in some other form of approved Electronic Record delivered in accordance with those provisions in writing.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38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notices of meetings of Directors shall continue to be given to the appointing Director and not to the alternate.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38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cease to be an alternate Director if:</w:t>
            </w:r>
          </w:p>
        </w:tc>
      </w:tr>
    </w:tbl>
    <w:p>
      <w:pPr>
        <w:pStyle w:val="TextBody"/>
        <w:bidi w:val="0"/>
        <w:spacing w:before="0" w:after="0"/>
        <w:ind w:left="709" w:right="0" w:hanging="709"/>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who appointed him ceases to be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event happens in relation to him which, if he were a Director of the Company, would cause his office as Director to be vacated.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38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15.7</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carry out all functions of the Director who made the appointment.</w:t>
            </w:r>
          </w:p>
        </w:tc>
      </w:tr>
    </w:tbl>
    <w:p>
      <w:pPr>
        <w:pStyle w:val="TextBody"/>
        <w:bidi w:val="0"/>
        <w:spacing w:before="0" w:after="0"/>
        <w:ind w:left="709" w:right="0" w:hanging="709"/>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38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15.8</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expressed, an alternate Director shall be treated as a Director under these Articles.</w:t>
            </w:r>
          </w:p>
        </w:tc>
      </w:tr>
    </w:tbl>
    <w:p>
      <w:pPr>
        <w:pStyle w:val="TextBody"/>
        <w:bidi w:val="0"/>
        <w:spacing w:before="0" w:after="0"/>
        <w:ind w:left="709" w:right="0" w:hanging="709"/>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38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15.9</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the agent of the Director appointing him.</w:t>
            </w:r>
          </w:p>
        </w:tc>
      </w:tr>
    </w:tbl>
    <w:p>
      <w:pPr>
        <w:pStyle w:val="TextBody"/>
        <w:bidi w:val="0"/>
        <w:spacing w:before="0" w:after="0"/>
        <w:ind w:left="709" w:right="0" w:hanging="709"/>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485"/>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15.10</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entitled to any remuneration for acting as alternate Director.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485"/>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15.11</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who has appointed an alternate is not thereby relieved from the duties which he owes the Company.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B-32</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3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the Memorandum and these Articles the business of the Company shall be managed by the Directors who may for that purpose exercise all the powers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38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16.4</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 Director:</w:t>
            </w:r>
          </w:p>
        </w:tc>
      </w:tr>
    </w:tbl>
    <w:p>
      <w:pPr>
        <w:pStyle w:val="TextBody"/>
        <w:bidi w:val="0"/>
        <w:spacing w:before="0" w:after="0"/>
        <w:ind w:left="709" w:right="0" w:hanging="709"/>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chairman of the Board;</w:t>
            </w:r>
          </w:p>
        </w:tc>
      </w:tr>
    </w:tbl>
    <w:p>
      <w:pPr>
        <w:pStyle w:val="TextBody"/>
        <w:bidi w:val="0"/>
        <w:spacing w:before="0" w:after="0"/>
        <w:ind w:left="1418" w:right="0" w:hanging="709"/>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managing Director;</w:t>
            </w:r>
          </w:p>
        </w:tc>
      </w:tr>
    </w:tbl>
    <w:p>
      <w:pPr>
        <w:pStyle w:val="TextBody"/>
        <w:bidi w:val="0"/>
        <w:spacing w:before="0" w:after="0"/>
        <w:ind w:left="1418" w:right="0" w:hanging="709"/>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other executive office,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09" w:right="0" w:hanging="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38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appointee must consent in writing to holding that office.</w:t>
            </w:r>
          </w:p>
        </w:tc>
      </w:tr>
    </w:tbl>
    <w:p>
      <w:pPr>
        <w:pStyle w:val="TextBody"/>
        <w:bidi w:val="0"/>
        <w:spacing w:before="0" w:after="0"/>
        <w:ind w:left="709" w:right="0" w:hanging="709"/>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38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16.6</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chairman is appointed he shall, unless unable to do so, preside at every meeting of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B-33</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09" w:right="0" w:hanging="709"/>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38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16.8</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the Directors may also appoint and remove any person, who need not be a Director:</w:t>
            </w:r>
          </w:p>
        </w:tc>
      </w:tr>
    </w:tbl>
    <w:p>
      <w:pPr>
        <w:pStyle w:val="TextBody"/>
        <w:bidi w:val="0"/>
        <w:spacing w:before="0" w:after="0"/>
        <w:ind w:left="709" w:right="0" w:hanging="709"/>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Secretary; and</w:t>
            </w:r>
          </w:p>
        </w:tc>
      </w:tr>
    </w:tbl>
    <w:p>
      <w:pPr>
        <w:pStyle w:val="TextBody"/>
        <w:bidi w:val="0"/>
        <w:spacing w:before="0" w:after="0"/>
        <w:ind w:left="1418" w:right="0" w:hanging="709"/>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office that may be required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09"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38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16.9</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Secretary or Officer must consent in writing to holding that office.</w:t>
            </w:r>
          </w:p>
        </w:tc>
      </w:tr>
    </w:tbl>
    <w:p>
      <w:pPr>
        <w:pStyle w:val="TextBody"/>
        <w:bidi w:val="0"/>
        <w:spacing w:before="0" w:after="0"/>
        <w:ind w:left="709" w:right="0" w:hanging="709"/>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48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16.10</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Secretary or other Officer of the Company may not the hold the office, or perform the services, of auditor.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16.13</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B-34</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16.17</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or that person, as the case may be, is lawfully required to do so under the laws of any jurisdiction to which the Company is subject; or</w:t>
            </w:r>
          </w:p>
        </w:tc>
      </w:tr>
    </w:tbl>
    <w:p>
      <w:pPr>
        <w:pStyle w:val="TextBody"/>
        <w:bidi w:val="0"/>
        <w:spacing w:before="0" w:after="0"/>
        <w:ind w:left="1418" w:right="0" w:hanging="709"/>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compliance with the Designated Stock Exchange Rules; or</w:t>
            </w:r>
          </w:p>
        </w:tc>
      </w:tr>
    </w:tbl>
    <w:p>
      <w:pPr>
        <w:pStyle w:val="TextBody"/>
        <w:bidi w:val="0"/>
        <w:spacing w:before="0" w:after="0"/>
        <w:ind w:left="1418" w:right="0" w:hanging="709"/>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accordance with any contract entered into by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are of the opinion such disclosure would assist or facilitate the Company’s operations.</w:t>
            </w:r>
          </w:p>
        </w:tc>
      </w:tr>
    </w:tbl>
    <w:p>
      <w:pPr>
        <w:pStyle w:val="TextBody"/>
        <w:bidi w:val="0"/>
        <w:spacing w:before="0" w:after="0"/>
        <w:ind w:left="1418" w:right="0" w:hanging="709"/>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3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Delegation of powers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09" w:right="0" w:hanging="709"/>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38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17.2</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collateral with, or to the exclusion of, the Directors’ own powers.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permitted by the Directors, a committee must follow the procedures prescribed for the taking of decisions by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B-35</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709" w:right="0" w:hanging="709"/>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causing the Company to enter into a power of attorney or agreement; or</w:t>
            </w:r>
          </w:p>
        </w:tc>
      </w:tr>
    </w:tbl>
    <w:p>
      <w:pPr>
        <w:pStyle w:val="TextBody"/>
        <w:bidi w:val="0"/>
        <w:spacing w:before="0" w:after="0"/>
        <w:ind w:left="1418" w:right="0" w:hanging="709"/>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manner they determine.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709" w:right="0" w:hanging="709"/>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purpose;</w:t>
            </w:r>
          </w:p>
        </w:tc>
      </w:tr>
    </w:tbl>
    <w:p>
      <w:pPr>
        <w:pStyle w:val="TextBody"/>
        <w:bidi w:val="0"/>
        <w:spacing w:before="0" w:after="0"/>
        <w:ind w:left="1418" w:right="0" w:hanging="709"/>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powers, authorities and discretions;</w:t>
            </w:r>
          </w:p>
        </w:tc>
      </w:tr>
    </w:tbl>
    <w:p>
      <w:pPr>
        <w:pStyle w:val="TextBody"/>
        <w:bidi w:val="0"/>
        <w:spacing w:before="0" w:after="0"/>
        <w:ind w:left="1418" w:right="0" w:hanging="709"/>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period; and</w:t>
            </w:r>
          </w:p>
        </w:tc>
      </w:tr>
    </w:tbl>
    <w:p>
      <w:pPr>
        <w:pStyle w:val="TextBody"/>
        <w:bidi w:val="0"/>
        <w:spacing w:before="0" w:after="0"/>
        <w:ind w:left="1418" w:right="0" w:hanging="709"/>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such conditions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09" w:right="0" w:hanging="709"/>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48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17.12</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remove any person appointed under Article 17.10 and may revoke or vary the delegation.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B-36</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17.13</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09" w:right="0" w:hanging="709"/>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23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38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these Articles, the Directors may regulate their proceedings as they think fit.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call a meeting of Directors at any time. The Secretary must call a meeting of the Directors if requested to do so by a Director.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09" w:right="0" w:hanging="709"/>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38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participating in this way is deemed to be present in person at the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B-37</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quorum for the transaction of business at a meeting of Directors shall be two unless the Directors fix some other number.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appoint a chairman and one or more deputy chairman or chairmen and may at any time revoke any such appointment.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question which arises at a Board meeting shall be decided by a majority of votes. If votes are equal the chairman may, if he wishes, exercise a casting vote.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18.10</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present at a meeting of Directors shall be presumed to have assented to any action taken at that meeting unless:</w:t>
            </w:r>
          </w:p>
        </w:tc>
      </w:tr>
    </w:tbl>
    <w:p>
      <w:pPr>
        <w:pStyle w:val="TextBody"/>
        <w:bidi w:val="0"/>
        <w:spacing w:before="0" w:after="0"/>
        <w:ind w:left="709" w:right="0" w:hanging="709"/>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 dissent is entered in the minutes of the meeting; or</w:t>
            </w:r>
          </w:p>
        </w:tc>
      </w:tr>
    </w:tbl>
    <w:p>
      <w:pPr>
        <w:pStyle w:val="TextBody"/>
        <w:bidi w:val="0"/>
        <w:spacing w:before="0" w:after="0"/>
        <w:ind w:left="1418" w:right="0" w:hanging="709"/>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filed with the meeting before it is concluded signed dissent from that action; or</w:t>
            </w:r>
          </w:p>
        </w:tc>
      </w:tr>
    </w:tbl>
    <w:p>
      <w:pPr>
        <w:pStyle w:val="TextBody"/>
        <w:bidi w:val="0"/>
        <w:spacing w:before="0" w:after="0"/>
        <w:ind w:left="1418" w:right="0" w:hanging="709"/>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forwarded to the Company as soon as practical following the conclusion of that meeting signed dissent.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B-38</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by a validly appointed alternate Director need not also be signed by the appointing Director.</w:t>
            </w:r>
          </w:p>
        </w:tc>
      </w:tr>
    </w:tbl>
    <w:p>
      <w:pPr>
        <w:pStyle w:val="TextBody"/>
        <w:bidi w:val="0"/>
        <w:spacing w:before="0" w:after="0"/>
        <w:ind w:left="709" w:right="0" w:hanging="709"/>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48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18.13</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personally by the appointing Director need not also be signed by his alternate.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09" w:right="0" w:hanging="709"/>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3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Permissible Directors’ interests and disclosure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709" w:right="0" w:hanging="709"/>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giving of any security, guarantee or indemnity in respect of:</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money lent or obligations incurred by him or by any other person for the benefit of the Company or any of its subsidiaries;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26"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B-39</w:t>
      </w:r>
    </w:p>
    <w:p>
      <w:pPr>
        <w:pStyle w:val="TextBody"/>
        <w:bidi w:val="0"/>
        <w:spacing w:before="0" w:after="0"/>
        <w:ind w:left="0" w:right="0" w:hanging="0"/>
        <w:jc w:val="left"/>
        <w:rPr/>
      </w:pPr>
      <w:r>
        <w:rPr/>
        <w:t> </w:t>
      </w:r>
    </w:p>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 to be a material interest in all circumstances);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matter connected with the purchase or maintenance for any Director of insurance against any liability or (to the extent permitted by the Law)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as a Director, vote (and be counted in the quorum) in respect of any contract, transaction, arrangement or proposal in which he has an interest which is not a material interest or which falls within Article 19.1.</w:t>
            </w:r>
          </w:p>
        </w:tc>
      </w:tr>
    </w:tbl>
    <w:p>
      <w:pPr>
        <w:pStyle w:val="TextBody"/>
        <w:bidi w:val="0"/>
        <w:spacing w:before="0" w:after="0"/>
        <w:ind w:left="709" w:right="0" w:hanging="709"/>
        <w:jc w:val="both"/>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38"/>
        <w:gridCol w:w="23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Minutes</w:t>
            </w:r>
          </w:p>
        </w:tc>
      </w:tr>
    </w:tbl>
    <w:p>
      <w:pPr>
        <w:pStyle w:val="TextBody"/>
        <w:bidi w:val="0"/>
        <w:spacing w:before="0" w:after="0"/>
        <w:ind w:left="709" w:right="0" w:hanging="709"/>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38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cause minutes to be made in books of:</w:t>
            </w:r>
          </w:p>
        </w:tc>
      </w:tr>
    </w:tbl>
    <w:p>
      <w:pPr>
        <w:pStyle w:val="TextBody"/>
        <w:bidi w:val="0"/>
        <w:spacing w:before="0" w:after="0"/>
        <w:ind w:left="709" w:right="0" w:hanging="709"/>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appointments of Officers and committees made by the Board and of any such Officer’s remuneration;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B-40</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1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and audit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must ensure that proper accounting and other records are kept, and that accounts and associated reports are distributed in accordance with the requirements of the Law.</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Law or as authorised by the Directors or by Ordinary Resolution.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Directors otherwise prescribe, the financial year of the Company shall end on 31 December in each year and begin on 1 January in each year.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38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 Auditor of the Company who shall hold office on such terms as the Directors determine.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09" w:right="0" w:hanging="709"/>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38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examine such books, accounts and vouchers; as may be necessary for the performance of their duties.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1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Record dates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i/>
                <w:sz w:val="20"/>
              </w:rPr>
              <w:t>inter se</w:t>
            </w:r>
            <w:r>
              <w:rPr>
                <w:rFonts w:ascii="Times New Roman;Times;Serif" w:hAnsi="Times New Roman;Times;Serif"/>
                <w:sz w:val="20"/>
              </w:rPr>
              <w:t xml:space="preserve"> in respect of the dividend of transferors and transferees of any of those Shares.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provisions of this Article apply, </w:t>
            </w:r>
            <w:r>
              <w:rPr>
                <w:rFonts w:ascii="Times New Roman;Times;Serif" w:hAnsi="Times New Roman;Times;Serif"/>
                <w:i/>
                <w:sz w:val="20"/>
              </w:rPr>
              <w:t>mutatis mutandis</w:t>
            </w:r>
            <w:r>
              <w:rPr>
                <w:rFonts w:ascii="Times New Roman;Times;Serif" w:hAnsi="Times New Roman;Times;Serif"/>
                <w:sz w:val="20"/>
              </w:rPr>
              <w:t>, to bonuses, capitalisation issues, distributions of realised capital profits or offers or grants made by the Company to the Members.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B-41</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8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may be declared and paid out of any funds of the Company lawfully available for distribution.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requirements of the Law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in relation to the distinction between interim dividends and final dividends, the following applies: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09" w:right="0" w:hanging="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38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23.6</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Shares carrying differing rights to dividends or rights to dividends at a fixed rate, the following applies: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B-42</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709" w:right="0" w:hanging="709"/>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fractional Shares;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18" w:right="0" w:hanging="709"/>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 some assets in trustees.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48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23.10</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or other monies payable on or in respect of a Share may be paid in any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 holding that Share or other person entitled to that Share nominates a bank account for that purpose - by wire transfer to that bank account;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cheque or warrant sent by post to the registered address of the Member holding that Share or other person entitled to that Share.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two or more persons are registered as the holders of the Share or are jointly entitled to it by reason of the death or bankruptcy of the registered holder (</w:t>
            </w:r>
            <w:r>
              <w:rPr>
                <w:rFonts w:ascii="Times New Roman;Times;Serif" w:hAnsi="Times New Roman;Times;Serif"/>
                <w:b/>
                <w:sz w:val="20"/>
              </w:rPr>
              <w:t>Joint Holders</w:t>
            </w:r>
            <w:r>
              <w:rPr>
                <w:rFonts w:ascii="Times New Roman;Times;Serif" w:hAnsi="Times New Roman;Times;Serif"/>
                <w:sz w:val="20"/>
              </w:rPr>
              <w:t>), a dividend (or other amount) payable on or in respect of that Share may be paid as follows: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address or bank account of another person nominated by the Joint Holders, whether that nomination is in writing or in an Electronic Record.</w:t>
            </w:r>
          </w:p>
        </w:tc>
      </w:tr>
    </w:tbl>
    <w:p>
      <w:pPr>
        <w:pStyle w:val="TextBody"/>
        <w:bidi w:val="0"/>
        <w:spacing w:before="0" w:after="0"/>
        <w:ind w:left="1418" w:right="0" w:hanging="709"/>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485"/>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23.13</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Joint Holder of a Share may give a valid receipt for a dividend (or other amount) payable in respect of that Share.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for by the rights attached to a Share, no dividend or other monies payable by the Company in respect of a Share shall bear interest.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23.16</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that remains unclaimed for a period of six years after it became due for payment shall be forfeited to, and shall cease to remain owing by, the Company.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B-43</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3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1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Capitalisation of profits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38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resolve to capitalise: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part of the Company’s profits not required for paying any preferential dividend (whether or not those profits are available for distribution); or</w:t>
            </w:r>
          </w:p>
        </w:tc>
      </w:tr>
    </w:tbl>
    <w:p>
      <w:pPr>
        <w:pStyle w:val="TextBody"/>
        <w:bidi w:val="0"/>
        <w:spacing w:before="0" w:after="0"/>
        <w:ind w:left="1418" w:right="0" w:hanging="709"/>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sum standing to the credit of the Company’s share premium account or capital redemption reserve, if 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paying up the amounts unpaid on that Member’s Shares;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sz w:val="20"/>
              </w:rPr>
              <w:t>Original Shares</w:t>
            </w:r>
            <w:r>
              <w:rPr>
                <w:rFonts w:ascii="Times New Roman;Times;Serif" w:hAnsi="Times New Roman;Times;Serif"/>
                <w:sz w:val="20"/>
              </w:rPr>
              <w:t>) rank for dividend only to the extent that the Original Shares rank for dividend while those Original Shares remain Partly Paid Up.</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Law,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09" w:right="0" w:hanging="709"/>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Premium Account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B-44</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38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amounts shall be debited to any share premium account: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the redemption or purchase of a Share, the difference between the nominal value of that Share and the redemption or purchase price; and</w:t>
            </w:r>
          </w:p>
        </w:tc>
      </w:tr>
    </w:tbl>
    <w:p>
      <w:pPr>
        <w:pStyle w:val="TextBody"/>
        <w:bidi w:val="0"/>
        <w:spacing w:before="0" w:after="0"/>
        <w:ind w:left="1418" w:right="0" w:hanging="709"/>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amount paid out of a share premium account as permitted by the Law.</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tc>
      </w:tr>
    </w:tbl>
    <w:p>
      <w:pPr>
        <w:pStyle w:val="TextBody"/>
        <w:bidi w:val="0"/>
        <w:spacing w:before="0" w:after="0"/>
        <w:ind w:left="709" w:right="0" w:hanging="709"/>
        <w:jc w:val="both"/>
        <w:rPr>
          <w:caps w:val="false"/>
          <w:smallCaps w:val="false"/>
        </w:rPr>
      </w:pPr>
      <w:r>
        <w:rPr>
          <w:caps w:val="false"/>
          <w:smallCaps w:val="false"/>
        </w:rPr>
        <w:t> </w:t>
      </w:r>
    </w:p>
    <w:tbl>
      <w:tblPr>
        <w:tblW w:w="648" w:type="dxa"/>
        <w:jc w:val="left"/>
        <w:tblInd w:w="0" w:type="dxa"/>
        <w:tblLayout w:type="fixed"/>
        <w:tblCellMar>
          <w:top w:w="0" w:type="dxa"/>
          <w:left w:w="0" w:type="dxa"/>
          <w:bottom w:w="0" w:type="dxa"/>
          <w:right w:w="0" w:type="dxa"/>
        </w:tblCellMar>
      </w:tblPr>
      <w:tblGrid>
        <w:gridCol w:w="38"/>
        <w:gridCol w:w="230"/>
        <w:gridCol w:w="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38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26.1</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have a seal if the Directors so determine.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Law,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709" w:right="0" w:hanging="709"/>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1418" w:right="0" w:hanging="709"/>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single Director (or his alternate).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38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26.4</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do not adopt a seal, or a seal is not used, a document may be executed in the following manner:</w:t>
            </w:r>
          </w:p>
        </w:tc>
      </w:tr>
    </w:tbl>
    <w:p>
      <w:pPr>
        <w:pStyle w:val="TextBody"/>
        <w:bidi w:val="0"/>
        <w:spacing w:before="0" w:after="0"/>
        <w:ind w:left="709" w:right="0" w:hanging="709"/>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1418" w:right="0" w:hanging="709"/>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single Director (or his alternate); or</w:t>
            </w:r>
          </w:p>
        </w:tc>
      </w:tr>
    </w:tbl>
    <w:p>
      <w:pPr>
        <w:pStyle w:val="TextBody"/>
        <w:bidi w:val="0"/>
        <w:spacing w:before="0" w:after="0"/>
        <w:ind w:left="1418" w:right="0" w:hanging="709"/>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3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manner permitted by the Law.</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B-45</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38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26.5</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that either or both of the following applies:</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seal or a duplicate seal need not be affixed manually but may be affixed by some other method or system of reproduction;</w:t>
            </w:r>
          </w:p>
        </w:tc>
      </w:tr>
    </w:tbl>
    <w:p>
      <w:pPr>
        <w:pStyle w:val="TextBody"/>
        <w:bidi w:val="0"/>
        <w:spacing w:before="0" w:after="0"/>
        <w:ind w:left="1418" w:right="0" w:hanging="709"/>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signature required by these Articles need not be manual but may be a mechanical or Electronic Signature.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Indemnity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B-46</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709" w:right="0" w:hanging="709"/>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existing or former Director (including alternate Director), Secretary or Officer or auditor of:</w:t>
            </w:r>
          </w:p>
        </w:tc>
      </w:tr>
    </w:tbl>
    <w:p>
      <w:pPr>
        <w:pStyle w:val="TextBody"/>
        <w:bidi w:val="0"/>
        <w:spacing w:before="0" w:after="0"/>
        <w:ind w:left="1418" w:right="0" w:hanging="709"/>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which is or was a subsidiary of 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in which the Company has or had an interest (whether direct or indirect);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trustee of an employee or retirement benefits scheme or other trust in which any of the persons referred to in paragraph (a) is or was interested.</w:t>
            </w:r>
          </w:p>
        </w:tc>
      </w:tr>
    </w:tbl>
    <w:p>
      <w:pPr>
        <w:pStyle w:val="TextBody"/>
        <w:bidi w:val="0"/>
        <w:spacing w:before="0" w:after="0"/>
        <w:ind w:left="1418" w:right="0" w:hanging="709"/>
        <w:jc w:val="both"/>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230"/>
        <w:gridCol w:w="6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709" w:right="0" w:hanging="709"/>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writing signed by or on behalf of the giver in the manner set out below for written notices;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18" w:right="0" w:hanging="709"/>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these Articles expressly permit, by the Company by means of a website.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B-47</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38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28.2</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only be given to the Company in an Electronic Record if:</w:t>
            </w:r>
          </w:p>
        </w:tc>
      </w:tr>
    </w:tbl>
    <w:p>
      <w:pPr>
        <w:pStyle w:val="TextBody"/>
        <w:bidi w:val="0"/>
        <w:spacing w:before="0" w:after="0"/>
        <w:ind w:left="709" w:right="0" w:hanging="709"/>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so resolve;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 states how an Electronic Record may be given and, if applicable, specifies an email address for the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Law,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and the Member have agreed to his having access to the notice or document on a website (instead of it being sent to him);</w:t>
            </w:r>
          </w:p>
        </w:tc>
      </w:tr>
    </w:tbl>
    <w:p>
      <w:pPr>
        <w:pStyle w:val="TextBody"/>
        <w:bidi w:val="0"/>
        <w:spacing w:before="0" w:after="0"/>
        <w:ind w:left="1418" w:right="0" w:hanging="709"/>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one to which that agreement applies;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 is notified (in accordance with any requirements laid down by the Law and, in a manner for the time being agreed between him and the Company for the purpose) of:</w:t>
            </w:r>
          </w:p>
        </w:tc>
      </w:tr>
    </w:tbl>
    <w:p>
      <w:pPr>
        <w:pStyle w:val="TextBody"/>
        <w:bidi w:val="0"/>
        <w:spacing w:before="0" w:after="0"/>
        <w:ind w:left="1418" w:right="0" w:hanging="709"/>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publication of the notice or document on a website;</w:t>
            </w:r>
          </w:p>
        </w:tc>
      </w:tr>
    </w:tbl>
    <w:p>
      <w:pPr>
        <w:pStyle w:val="TextBody"/>
        <w:bidi w:val="0"/>
        <w:spacing w:before="0" w:after="0"/>
        <w:ind w:left="2126" w:right="0" w:hanging="708"/>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that website; and</w:t>
            </w:r>
          </w:p>
        </w:tc>
      </w:tr>
    </w:tbl>
    <w:p>
      <w:pPr>
        <w:pStyle w:val="TextBody"/>
        <w:bidi w:val="0"/>
        <w:spacing w:before="0" w:after="0"/>
        <w:ind w:left="2126"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on that website where the notice or document may be accessed, and how it may be accessed;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B-48</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28.8</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Members are joint holders of a Share, all notices shall be given to the Member whose name first appears in the register of Members.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28.9</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09" w:right="0" w:hanging="709"/>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485"/>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28.10</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may be signed by an Electronic Signature.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28.11</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28.12</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28.13</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B-49</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28.14</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28.15</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such an address has been supplied, a notice may be given in any manner in which it might have been given if the death or bankruptcy had not occurred.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48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28.16</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is given on the date identified in the following table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72"/>
        <w:gridCol w:w="60"/>
        <w:gridCol w:w="5873"/>
      </w:tblGrid>
      <w:tr>
        <w:trPr/>
        <w:tc>
          <w:tcPr>
            <w:tcW w:w="427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5873" w:type="dxa"/>
            <w:tcBorders>
              <w:bottom w:val="single" w:sz="8"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7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28.17</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09" w:right="0" w:hanging="709"/>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3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Authentication of Electronic Records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B-50</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Member or each Member,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one or more of those Members;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18" w:right="0" w:hanging="709"/>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29.3</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Secretary or the Officer or each Officer,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the Secretary or one or more of those Officers;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18" w:right="0" w:hanging="709"/>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29.5</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B-51</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29.6</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29.7</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written resolution or other document under these Articles will not be deemed to be authentic if the recipient, acting reasonably:</w:t>
            </w:r>
          </w:p>
        </w:tc>
      </w:tr>
    </w:tbl>
    <w:p>
      <w:pPr>
        <w:pStyle w:val="TextBody"/>
        <w:bidi w:val="0"/>
        <w:spacing w:before="0" w:after="0"/>
        <w:ind w:left="709" w:right="0" w:hanging="709"/>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signature of the signatory has been altered after the signatory had signed the original document;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18" w:right="0" w:hanging="709"/>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otherwise doubts the authenticity of the Electronic Record of the document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09"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3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by way of continuation</w:t>
            </w:r>
          </w:p>
        </w:tc>
      </w:tr>
    </w:tbl>
    <w:p>
      <w:pPr>
        <w:pStyle w:val="TextBody"/>
        <w:bidi w:val="0"/>
        <w:spacing w:before="0" w:after="0"/>
        <w:ind w:left="709" w:right="0" w:hanging="709"/>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38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30.1</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by Special Resolution, resolve to be registered by way of continuation in a jurisdiction outside:</w:t>
            </w:r>
          </w:p>
        </w:tc>
      </w:tr>
    </w:tbl>
    <w:p>
      <w:pPr>
        <w:pStyle w:val="TextBody"/>
        <w:bidi w:val="0"/>
        <w:spacing w:before="0" w:after="0"/>
        <w:ind w:left="709" w:right="0" w:hanging="709"/>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or</w:t>
            </w:r>
          </w:p>
        </w:tc>
      </w:tr>
    </w:tbl>
    <w:p>
      <w:pPr>
        <w:pStyle w:val="TextBody"/>
        <w:bidi w:val="0"/>
        <w:spacing w:before="0" w:after="0"/>
        <w:ind w:left="1418" w:right="0" w:hanging="709"/>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jurisdiction in which it is, for the time being, incorporated, registered or existing.</w:t>
            </w:r>
          </w:p>
        </w:tc>
      </w:tr>
    </w:tbl>
    <w:p>
      <w:pPr>
        <w:pStyle w:val="TextBody"/>
        <w:bidi w:val="0"/>
        <w:spacing w:before="0" w:after="0"/>
        <w:ind w:left="1418" w:right="0" w:hanging="709"/>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38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30.2</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any resolution made pursuant to the preceding Article, the Directors may cause the following:</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such further steps as they consider appropriate to be taken to effect the transfer by way of continuation of the Company.</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B-52</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23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Winding up</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is wound up the Members may, subject to these Articles and any other sanction required by the Law, pass a Special Resolution allowing the liquidator to do either or both of the following:</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Members and those liable to contribute to the winding up.</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38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shall be compelled to accept any assets if an obligation attaches to them.</w:t>
            </w:r>
          </w:p>
        </w:tc>
      </w:tr>
    </w:tbl>
    <w:p>
      <w:pPr>
        <w:pStyle w:val="TextBody"/>
        <w:bidi w:val="0"/>
        <w:spacing w:before="0" w:after="0"/>
        <w:ind w:left="709" w:right="0" w:hanging="709"/>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38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are authorised to present a winding up petition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3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of Memorandum and Articles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38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Law, the Company may, by Special Resolution:</w:t>
            </w:r>
          </w:p>
        </w:tc>
      </w:tr>
    </w:tbl>
    <w:p>
      <w:pPr>
        <w:pStyle w:val="TextBody"/>
        <w:bidi w:val="0"/>
        <w:spacing w:before="0" w:after="0"/>
        <w:ind w:left="709" w:right="0" w:hanging="709"/>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its name;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provisions of its Memorandum with respect to its objects, powers or any other matter specified in the Memorandum.</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Law and as provided in these Articles, the Company may, by Special Resolution, amend these Articles in whole or in part.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B-53</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chsnex99-2.htm"/>
      <w:bookmarkStart w:id="5" w:name="kschsn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FOR EXTRAORDINARY GENERAL MEETING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 2026 at 9:30 a.m.,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a shareholder of Chanson International Holding (the “Company”), hereby appoints the chairman of the extraordinary general meeting of shareholders of the Company (the “EGM”) or, if the following is completed, ____________________ of ____________________ as proxy of the undersigned to attend and vote on behalf of the undersigned in respect of all of the ordinary shares of the Company held by the undersigned (or, if the following is completed, ________ Class A ordinary shares and ________ Class B ordinary shares) at the EGM to be held on October [●], 2026 at 9:30 a.m., Eastern Time, and at any adjournment thereof, as directed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who is entitled to attend and vote at the EGM is entitled to appoint one or more proxies to attend and vote instead of that shareholder. A proxy need not be a shareholder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with immediate effect subject to the passing of the special resolution set out in Proposal No. 2 (Share Capital Reduction and Reorganisation), that the authorised share capital of the Company be increased from US$412,500 divided into 41,100,000 Class A ordinary shares of US$0.01 par value each and 150,000 Class B ordinary shares of US$0.01 par value each to US$412,500,000,000 divided into 41,100,000,000,000 Class A ordinary shares of US$0.01 par value each and 150,000,000,000 Class B ordinary shares of US$0.01 par value each by the creation of 41,099,958,900,000 Class A ordinary shares of US$0.01 par value each and 149,999,850,000 Class B ordinary shares of US$0.01 par value each (the “Share Capital Increase”).”</w:t>
      </w:r>
    </w:p>
    <w:p>
      <w:pPr>
        <w:pStyle w:val="TextBody"/>
        <w:bidi w:val="0"/>
        <w:spacing w:before="0" w:after="0"/>
        <w:ind w:left="504"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665"/>
        <w:gridCol w:w="1115"/>
        <w:gridCol w:w="1130"/>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xml:space="preserve">☐ </w:t>
            </w:r>
            <w:r>
              <w:rPr>
                <w:sz w:val="20"/>
              </w:rPr>
              <w:t>FOR</w:t>
            </w:r>
          </w:p>
        </w:tc>
        <w:tc>
          <w:tcPr>
            <w:tcW w:w="1115" w:type="dxa"/>
            <w:tcBorders/>
            <w:vAlign w:val="center"/>
          </w:tcPr>
          <w:p>
            <w:pPr>
              <w:pStyle w:val="TableContents"/>
              <w:bidi w:val="0"/>
              <w:spacing w:before="0" w:after="283"/>
              <w:jc w:val="left"/>
              <w:rPr/>
            </w:pPr>
            <w:r>
              <w:rPr/>
              <w:t xml:space="preserve">☐ </w:t>
            </w:r>
            <w:r>
              <w:rPr>
                <w:sz w:val="20"/>
              </w:rPr>
              <w:t>AGAINST</w:t>
            </w:r>
          </w:p>
        </w:tc>
        <w:tc>
          <w:tcPr>
            <w:tcW w:w="1130" w:type="dxa"/>
            <w:tcBorders/>
            <w:vAlign w:val="center"/>
          </w:tcPr>
          <w:p>
            <w:pPr>
              <w:pStyle w:val="TableContents"/>
              <w:bidi w:val="0"/>
              <w:spacing w:before="0" w:after="283"/>
              <w:jc w:val="left"/>
              <w:rPr/>
            </w:pPr>
            <w:r>
              <w:rPr/>
              <w:t xml:space="preserve">☐ </w:t>
            </w:r>
            <w:r>
              <w:rPr>
                <w:sz w:val="20"/>
              </w:rPr>
              <w:t>ABSTAIN</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the Share Capital Increase being effected and all further requirements prescribed by sections 14A and 14B of the Companies Act (Revised) relating to share capital reductions being complied with, the authorised share capital of the Company be reduced and reorganized from US$412,500,000,000 divided into 41,100,000,000,000 Class A ordinary shares of US$0.01 par value each and 150,000,000,000 Class B ordinary shares of US$0.01 par value each to US$41,250 divided into 41,100,000,000,000 Class A ordinary shares of US$0.000000001 par value each and 150,000,000,000 Class B ordinary shares of US$0.000000001 par value each by the taking of the following steps (together, the “Share Capital Reduction and Reorganisation”):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the par value of each issued and outstanding Class A ordinary share of par value US$0.01 and Class B ordinary share of par value US$0.01 in the share capital of the Company being reduced to US$0.000000001 by cancelling US$0.009999999 of the paid-up capital on each issued and outstanding Class A ordinary share of par value US$0.01 and Class B ordinary share of par value US$0.01 (the “Capital Reduction”), with the amount deemed to be paid up on each issued and outstanding share of the Company to be US$0.000000001 following the Capital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the credit arising from the Capital Reduction being transferred to a distributable reserve account of the Company which may be utilised by the Company as the board of directors of the Company may deem fit and as permitted under the Companies Act (Revised), the Company’s memorandum and articles of association, and all relevant applicable laws, including, without limitation, eliminating or setting off any accumulated losses of the Company (if any)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immediately following the Capital Reduction, each authorised but unissued Class A ordinary share of par value US$0.01 being subdivided into 10,000,000 Class A ordinary shares of par value US$0.000000001 each and each authorised but unissued Class B ordinary share of par value US$0.01 being subdivided into 10,000,000 Class B ordinary shares of par value US$0.000000001 each (together, the “Subdivision”); and</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immediately following the Subdivision, the authorised share capital of the Company being altered by the cancellation of such number of unissued Class A ordinary shares of par value US$0.000000001 each and unissued Class B ordinary shares of par value US$0.000000001 each that will result in the Company having authorised share capital of US$41,250 divided into 41,100,000,000,000 Class A ordinary shares of US$0.000000001 par value each and 150,000,000,000 Class B ordinary shares of US$0.000000001 par value each (the “Cancellation”).”</w:t>
      </w:r>
      <w:r>
        <w:rPr>
          <w:rFonts w:ascii="Times New Roman;Times;Serif" w:hAnsi="Times New Roman;Times;Serif"/>
          <w:b w:val="false"/>
          <w:i w:val="false"/>
          <w:caps w:val="false"/>
          <w:smallCaps w:val="false"/>
          <w:sz w:val="20"/>
        </w:rPr>
        <w:t>☐ FOR ☐ AGAINST ☐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 Adoption of A&amp;R M&amp;A (Capital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and immediately following the Share Capital Reduction and Reorganisation being effected, the Company adopt amended and restated memorandum and articles of association, in the form attached to the Notice and Proxy Statement delivered to shareholders and dated September 28, 2026, in substitution for, and to the exclusion of, the Company’s existing memorandum and articles of association, to reflect the Share Capital Reduction and Reorganisation.”</w:t>
      </w:r>
    </w:p>
    <w:p>
      <w:pPr>
        <w:pStyle w:val="TextBody"/>
        <w:bidi w:val="0"/>
        <w:spacing w:before="0" w:after="0"/>
        <w:ind w:left="504"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665"/>
        <w:gridCol w:w="1115"/>
        <w:gridCol w:w="1130"/>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xml:space="preserve">☐ </w:t>
            </w:r>
            <w:r>
              <w:rPr>
                <w:sz w:val="20"/>
              </w:rPr>
              <w:t>FOR</w:t>
            </w:r>
          </w:p>
        </w:tc>
        <w:tc>
          <w:tcPr>
            <w:tcW w:w="1115" w:type="dxa"/>
            <w:tcBorders/>
            <w:vAlign w:val="center"/>
          </w:tcPr>
          <w:p>
            <w:pPr>
              <w:pStyle w:val="TableContents"/>
              <w:bidi w:val="0"/>
              <w:spacing w:before="0" w:after="283"/>
              <w:jc w:val="left"/>
              <w:rPr/>
            </w:pPr>
            <w:r>
              <w:rPr/>
              <w:t xml:space="preserve">☐ </w:t>
            </w:r>
            <w:r>
              <w:rPr>
                <w:sz w:val="20"/>
              </w:rPr>
              <w:t>AGAINST</w:t>
            </w:r>
          </w:p>
        </w:tc>
        <w:tc>
          <w:tcPr>
            <w:tcW w:w="1130" w:type="dxa"/>
            <w:tcBorders/>
            <w:vAlign w:val="center"/>
          </w:tcPr>
          <w:p>
            <w:pPr>
              <w:pStyle w:val="TableContents"/>
              <w:bidi w:val="0"/>
              <w:spacing w:before="0" w:after="283"/>
              <w:jc w:val="left"/>
              <w:rPr/>
            </w:pPr>
            <w:r>
              <w:rPr/>
              <w:t xml:space="preserve">☐ </w:t>
            </w:r>
            <w:r>
              <w:rPr>
                <w:sz w:val="20"/>
              </w:rPr>
              <w:t>ABSTAIN</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with effect 10 clear days after the effectiveness of the Share Capital Reduction and Reorganisation or such later date as approved by The Nasdaq Stock Market LLC,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the authorised, issued and outstanding shares of the Company (collectively, the “Shares”) be consolidated and divided by consolidating (i) every 100 Class A ordinary shares with a par value of US$0.000000001 each into one Class A ordinary share with a par value of US$0.0000001 and (ii) every 100 Class B ordinary shares with a par value of US$0.000000001 each into one Class B ordinary share with a par value of US$0.0000001, with such consolidated Shares having the same rights and being subject to the same restrictions (save as to par value) as the existing Shares of such class as set out in the Company’s memorandum and articles of association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as a result of the Share Consolidation, the authorised share capital of the Company be amended from US$41,250 divided into 41,100,000,000,000 Class A ordinary shares of US$0.000000001 par value each and 150,000,000,000 Class B ordinary shares of US$0.000000001 par value each to US$41,250 divided into 411,000,000,000 Class A ordinary shares of US$0.0000001 par value each and 1,500,000,000 Class B ordinary shares of US$0.0000001 par value each; and</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 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w:t>
      </w:r>
      <w:r>
        <w:rPr>
          <w:rFonts w:ascii="Times New Roman;Times;Serif" w:hAnsi="Times New Roman;Times;Serif"/>
          <w:b w:val="false"/>
          <w:i w:val="false"/>
          <w:caps w:val="false"/>
          <w:smallCaps w:val="false"/>
          <w:sz w:val="20"/>
        </w:rPr>
        <w:t>☐ FOR ☐ AGAINST ☐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 — Adoption of A&amp;R M&amp;A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 special resolution, that, subject to and immediately following the Share Consolidation being effected, the Company adopt amended and restated memorandum and articles of association, in the form attached to the Notice and Proxy Statement delivered to shareholders and dated September 28, 2026, in substitution for, and to the exclusion of, the Company’s existing memorandum and articles of association, to reflect the Share Consolidation.”</w:t>
      </w:r>
    </w:p>
    <w:p>
      <w:pPr>
        <w:pStyle w:val="TextBody"/>
        <w:bidi w:val="0"/>
        <w:spacing w:before="0" w:after="0"/>
        <w:ind w:left="504"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665"/>
        <w:gridCol w:w="1115"/>
        <w:gridCol w:w="1130"/>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xml:space="preserve">☐ </w:t>
            </w:r>
            <w:r>
              <w:rPr>
                <w:sz w:val="20"/>
              </w:rPr>
              <w:t>FOR</w:t>
            </w:r>
          </w:p>
        </w:tc>
        <w:tc>
          <w:tcPr>
            <w:tcW w:w="1115" w:type="dxa"/>
            <w:tcBorders/>
            <w:vAlign w:val="center"/>
          </w:tcPr>
          <w:p>
            <w:pPr>
              <w:pStyle w:val="TableContents"/>
              <w:bidi w:val="0"/>
              <w:spacing w:before="0" w:after="283"/>
              <w:jc w:val="left"/>
              <w:rPr/>
            </w:pPr>
            <w:r>
              <w:rPr/>
              <w:t xml:space="preserve">☐ </w:t>
            </w:r>
            <w:r>
              <w:rPr>
                <w:sz w:val="20"/>
              </w:rPr>
              <w:t>AGAINST</w:t>
            </w:r>
          </w:p>
        </w:tc>
        <w:tc>
          <w:tcPr>
            <w:tcW w:w="1130" w:type="dxa"/>
            <w:tcBorders/>
            <w:vAlign w:val="center"/>
          </w:tcPr>
          <w:p>
            <w:pPr>
              <w:pStyle w:val="TableContents"/>
              <w:bidi w:val="0"/>
              <w:spacing w:before="0" w:after="283"/>
              <w:jc w:val="left"/>
              <w:rPr/>
            </w:pPr>
            <w:r>
              <w:rPr/>
              <w:t xml:space="preserve">☐ </w:t>
            </w:r>
            <w:r>
              <w:rPr>
                <w:sz w:val="20"/>
              </w:rPr>
              <w:t>ABSTAIN</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50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6 — Adjournment of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 is resolved, as an ordinary resolution, to adjourn the general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pStyle w:val="TextBody"/>
        <w:bidi w:val="0"/>
        <w:spacing w:before="0" w:after="0"/>
        <w:ind w:left="504"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665"/>
        <w:gridCol w:w="1115"/>
        <w:gridCol w:w="1130"/>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xml:space="preserve">☐ </w:t>
            </w:r>
            <w:r>
              <w:rPr>
                <w:sz w:val="20"/>
              </w:rPr>
              <w:t>FOR</w:t>
            </w:r>
          </w:p>
        </w:tc>
        <w:tc>
          <w:tcPr>
            <w:tcW w:w="1115" w:type="dxa"/>
            <w:tcBorders/>
            <w:vAlign w:val="center"/>
          </w:tcPr>
          <w:p>
            <w:pPr>
              <w:pStyle w:val="TableContents"/>
              <w:bidi w:val="0"/>
              <w:spacing w:before="0" w:after="283"/>
              <w:jc w:val="left"/>
              <w:rPr/>
            </w:pPr>
            <w:r>
              <w:rPr/>
              <w:t xml:space="preserve">☐ </w:t>
            </w:r>
            <w:r>
              <w:rPr>
                <w:sz w:val="20"/>
              </w:rPr>
              <w:t>AGAINST</w:t>
            </w:r>
          </w:p>
        </w:tc>
        <w:tc>
          <w:tcPr>
            <w:tcW w:w="1130" w:type="dxa"/>
            <w:tcBorders/>
            <w:vAlign w:val="center"/>
          </w:tcPr>
          <w:p>
            <w:pPr>
              <w:pStyle w:val="TableContents"/>
              <w:bidi w:val="0"/>
              <w:spacing w:before="0" w:after="283"/>
              <w:jc w:val="left"/>
              <w:rPr/>
            </w:pPr>
            <w:r>
              <w:rPr/>
              <w:t xml:space="preserve">☐ </w:t>
            </w:r>
            <w:r>
              <w:rPr>
                <w:sz w:val="20"/>
              </w:rPr>
              <w:t>ABSTAIN</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is solicited on behalf of the Board of Directors of Chanson International 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by the undersigned shareholder. If no direction is made, the proxy will be entitled to vote or abstain at his or her discretion on each proposal and on any other matter properly brought before the EGM. If the chairman of the EGM is appointed as proxy, the chairman intends to vote FOR each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SUBMIT YOUR PROXY ONLINE: www.Transhare.com click on Submit Your Proxy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your Control Number: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SUBMIT YOUR PROXY BY EMAIL: Please email your signed proxy card to Proxy@Transhare.com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SUBMIT YOUR PROXY BY FAX: Please fax this proxy card to 1.727.269.5616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SUBMIT YOUR PROXY BY MAIL: Please sign, date and mail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Team</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Transhare Corporation</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17755 US Highway 19 N</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140</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Clearwater FL 33764</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valid, this proxy form (and any authority under which it is signed) must be received by Transhare Corporation no later than [●] a.m., Eastern Time, on October [●], 2026. Proxy forms received after that time will be invalid.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Please date this Proxy and sign exactly as your name or names appear hereon. If shares are held jointly, both owners must sign. Executors, administrators, trustees, guardians and others signing in a representative capacity should give their full titles. If the shareholder is a corporation, this proxy form must be executed under seal or signed by a duly authorised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Shareholder: 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Joint Shareholder: 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5349/000121390025065280/ea0249173-s8_chanson.htm" TargetMode="External"/><Relationship Id="rId3" Type="http://schemas.openxmlformats.org/officeDocument/2006/relationships/hyperlink" Target="http://www.sec.gov/Archives/edgar/data/1825349/000121390025076637/ea0253250-f3_chanso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216</Pages>
  <Words>51469</Words>
  <Characters>249172</Characters>
  <CharactersWithSpaces>299204</CharactersWithSpaces>
  <Paragraphs>6768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