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676-6k_chanson.htm"/>
      <w:bookmarkStart w:id="1" w:name="ksea03056766k_chanson"/>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September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001-41663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Chanson International Holding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International Holding (the “Company”) is filing this report of foreign private issuer on Form 6-K to report its financial results for the six months ended June 30, 2026 and to discuss its recent corporate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exhibits to this report of foreign private issuer on Form 6-K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unaudited condensed consolidated interim financial statements and related notes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press release dated September 18, 2026, titled “Chanson International Holding Announces First Half of Fiscal Year 2026 Financial Results” as Exhibit 99.2;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Interactive Data File disclosure as Exhibit 101 in accordance with Rule 405 of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report of foreign private issuer with respect to the Company’s current plans, estimates, strategies and beliefs and other statements that are not historical facts are forward-looking statements about the future performance of the Company. Forward-looking statements include, but are not limited to, those statements using words such as “believe,” “expect,” “plans,” “strategy,” “prospects,” “forecast,” “estimate,” “project,” “anticipate,” “aim,” “intend,” “seek,” “may,” “might,” “could” or “should,” and words of similar meaning in connection with a discussion of future operations, financial performance, events or conditions. From time to time, oral or written forward-looking statements may also be included in other materials released to the public. These statements are based on management’s assumptions, judgments and beliefs in light of the information currently available to it. The Company cautions investors that a number of important risks and uncertainties could cause actual results to differ materially from those discussed in the forward-looking statements, including but not limited to, product and service demand and acceptance, changes in technology, economic conditions, the impact of competition and pricing, government regulation, and other risks contained in reports filed by the Company with the U.S. Securities and Exchange Commission. Therefore, investors should not place undue reliance on such forward-looking statements. Actual results may differ significantly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forward-looking statements, whether written or oral, and whether made by or on behalf of the Company, are expressly qualified by the cautionary statements and any other cautionary statements which may accompany the forward-looking statements. In addition, the Company disclaims any obligation to update any forward-looking statements to reflect events or circumstances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Current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333-289600) that was initially filed with the SEC on August 14, 2025 and declared effective by the SEC on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8"/>
        <w:gridCol w:w="60"/>
        <w:gridCol w:w="9307"/>
      </w:tblGrid>
      <w:tr>
        <w:trPr/>
        <w:tc>
          <w:tcPr>
            <w:tcW w:w="838"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30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3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07" w:type="dxa"/>
            <w:tcBorders/>
            <w:shd w:fill="CCEEFF" w:val="clear"/>
            <w:tcMar>
              <w:bottom w:w="0" w:type="dxa"/>
            </w:tcMar>
            <w:vAlign w:val="center"/>
          </w:tcPr>
          <w:p>
            <w:pPr>
              <w:pStyle w:val="TableContents"/>
              <w:bidi w:val="0"/>
              <w:spacing w:before="0" w:after="283"/>
              <w:jc w:val="both"/>
              <w:rPr/>
            </w:pPr>
            <w:hyperlink w:anchor="ea030567601ex99-1.htm">
              <w:r>
                <w:rPr>
                  <w:rStyle w:val="InternetLink"/>
                  <w:rFonts w:ascii="Times New Roman;Times;Serif" w:hAnsi="Times New Roman;Times;Serif"/>
                  <w:sz w:val="20"/>
                </w:rPr>
                <w:t>Unaudited Condensed Consolidated Financial Statements and Related Notes as of June 30, 2026 and for the Six Months Ended June 30, 2026 and 2025</w:t>
              </w:r>
            </w:hyperlink>
          </w:p>
        </w:tc>
      </w:tr>
      <w:tr>
        <w:trPr/>
        <w:tc>
          <w:tcPr>
            <w:tcW w:w="838"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07" w:type="dxa"/>
            <w:tcBorders/>
            <w:shd w:fill="FFFFFF" w:val="clear"/>
            <w:tcMar>
              <w:bottom w:w="0" w:type="dxa"/>
            </w:tcMar>
            <w:vAlign w:val="center"/>
          </w:tcPr>
          <w:p>
            <w:pPr>
              <w:pStyle w:val="TableContents"/>
              <w:bidi w:val="0"/>
              <w:spacing w:before="0" w:after="283"/>
              <w:jc w:val="both"/>
              <w:rPr/>
            </w:pPr>
            <w:hyperlink w:anchor="ea030567601ex99-2.htm">
              <w:r>
                <w:rPr>
                  <w:rStyle w:val="InternetLink"/>
                  <w:rFonts w:ascii="Times New Roman;Times;Serif" w:hAnsi="Times New Roman;Times;Serif"/>
                  <w:sz w:val="20"/>
                </w:rPr>
                <w:t>Press release titled “Chanson International Holding Announces First Half of Fiscal Year 2026 Financial Results”</w:t>
              </w:r>
            </w:hyperlink>
          </w:p>
        </w:tc>
      </w:tr>
      <w:tr>
        <w:trPr/>
        <w:tc>
          <w:tcPr>
            <w:tcW w:w="838" w:type="dxa"/>
            <w:tcBorders/>
            <w:shd w:fill="CCEEFF" w:val="clear"/>
            <w:tcMar>
              <w:bottom w:w="0" w:type="dxa"/>
            </w:tcMar>
            <w:vAlign w:val="center"/>
          </w:tcPr>
          <w:p>
            <w:pPr>
              <w:pStyle w:val="TableContents"/>
              <w:bidi w:val="0"/>
              <w:spacing w:before="0" w:after="283"/>
              <w:jc w:val="both"/>
              <w:rPr/>
            </w:pPr>
            <w:r>
              <w:rPr/>
              <w:t>101.INS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07" w:type="dxa"/>
            <w:tcBorders/>
            <w:shd w:fill="CCEEFF" w:val="clear"/>
            <w:tcMar>
              <w:bottom w:w="0" w:type="dxa"/>
            </w:tcMar>
            <w:vAlign w:val="center"/>
          </w:tcPr>
          <w:p>
            <w:pPr>
              <w:pStyle w:val="TableContents"/>
              <w:bidi w:val="0"/>
              <w:spacing w:before="0" w:after="283"/>
              <w:jc w:val="both"/>
              <w:rPr/>
            </w:pPr>
            <w:r>
              <w:rPr/>
              <w:t>Inline XBRL Instance Document (the instance document does not appear in the Interactive Data File because its XBRL tags are embedded within the Inline XBRL document).</w:t>
            </w:r>
          </w:p>
        </w:tc>
      </w:tr>
      <w:tr>
        <w:trPr/>
        <w:tc>
          <w:tcPr>
            <w:tcW w:w="838" w:type="dxa"/>
            <w:tcBorders/>
            <w:shd w:fill="FFFFFF" w:val="clear"/>
            <w:tcMar>
              <w:bottom w:w="0" w:type="dxa"/>
            </w:tcMar>
            <w:vAlign w:val="center"/>
          </w:tcPr>
          <w:p>
            <w:pPr>
              <w:pStyle w:val="TableContents"/>
              <w:bidi w:val="0"/>
              <w:spacing w:before="0" w:after="283"/>
              <w:jc w:val="both"/>
              <w:rPr/>
            </w:pPr>
            <w:r>
              <w:rPr/>
              <w:t>101.SCH</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07" w:type="dxa"/>
            <w:tcBorders/>
            <w:shd w:fill="FFFFFF" w:val="clear"/>
            <w:tcMar>
              <w:bottom w:w="0" w:type="dxa"/>
            </w:tcMar>
            <w:vAlign w:val="center"/>
          </w:tcPr>
          <w:p>
            <w:pPr>
              <w:pStyle w:val="TableContents"/>
              <w:bidi w:val="0"/>
              <w:spacing w:before="0" w:after="283"/>
              <w:jc w:val="both"/>
              <w:rPr/>
            </w:pPr>
            <w:r>
              <w:rPr/>
              <w:t>Inline XBRL Taxonomy Extension Schema Document.</w:t>
            </w:r>
          </w:p>
        </w:tc>
      </w:tr>
      <w:tr>
        <w:trPr/>
        <w:tc>
          <w:tcPr>
            <w:tcW w:w="838" w:type="dxa"/>
            <w:tcBorders/>
            <w:shd w:fill="CCEEFF" w:val="clear"/>
            <w:tcMar>
              <w:bottom w:w="0" w:type="dxa"/>
            </w:tcMar>
            <w:vAlign w:val="center"/>
          </w:tcPr>
          <w:p>
            <w:pPr>
              <w:pStyle w:val="TableContents"/>
              <w:bidi w:val="0"/>
              <w:spacing w:before="0" w:after="283"/>
              <w:jc w:val="both"/>
              <w:rPr/>
            </w:pPr>
            <w:r>
              <w:rPr/>
              <w:t>101.CAL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07" w:type="dxa"/>
            <w:tcBorders/>
            <w:shd w:fill="CCEEFF" w:val="clear"/>
            <w:tcMar>
              <w:bottom w:w="0" w:type="dxa"/>
            </w:tcMar>
            <w:vAlign w:val="center"/>
          </w:tcPr>
          <w:p>
            <w:pPr>
              <w:pStyle w:val="TableContents"/>
              <w:bidi w:val="0"/>
              <w:spacing w:before="0" w:after="283"/>
              <w:jc w:val="both"/>
              <w:rPr/>
            </w:pPr>
            <w:r>
              <w:rPr/>
              <w:t>Inline XBRL Taxonomy Extension Calculation Linkbase Document.</w:t>
            </w:r>
          </w:p>
        </w:tc>
      </w:tr>
      <w:tr>
        <w:trPr/>
        <w:tc>
          <w:tcPr>
            <w:tcW w:w="838" w:type="dxa"/>
            <w:tcBorders/>
            <w:shd w:fill="FFFFFF" w:val="clear"/>
            <w:tcMar>
              <w:bottom w:w="0" w:type="dxa"/>
            </w:tcMar>
            <w:vAlign w:val="center"/>
          </w:tcPr>
          <w:p>
            <w:pPr>
              <w:pStyle w:val="TableContents"/>
              <w:bidi w:val="0"/>
              <w:spacing w:before="0" w:after="283"/>
              <w:jc w:val="both"/>
              <w:rPr/>
            </w:pPr>
            <w:r>
              <w:rPr/>
              <w:t>101.DEF</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07" w:type="dxa"/>
            <w:tcBorders/>
            <w:shd w:fill="FFFFFF" w:val="clear"/>
            <w:tcMar>
              <w:bottom w:w="0" w:type="dxa"/>
            </w:tcMar>
            <w:vAlign w:val="center"/>
          </w:tcPr>
          <w:p>
            <w:pPr>
              <w:pStyle w:val="TableContents"/>
              <w:bidi w:val="0"/>
              <w:spacing w:before="0" w:after="283"/>
              <w:jc w:val="both"/>
              <w:rPr/>
            </w:pPr>
            <w:r>
              <w:rPr/>
              <w:t>Inline XBRL Taxonomy Extension Definition Linkbase Document.</w:t>
            </w:r>
          </w:p>
        </w:tc>
      </w:tr>
      <w:tr>
        <w:trPr/>
        <w:tc>
          <w:tcPr>
            <w:tcW w:w="838" w:type="dxa"/>
            <w:tcBorders/>
            <w:shd w:fill="CCEEFF" w:val="clear"/>
            <w:tcMar>
              <w:bottom w:w="0" w:type="dxa"/>
            </w:tcMar>
            <w:vAlign w:val="center"/>
          </w:tcPr>
          <w:p>
            <w:pPr>
              <w:pStyle w:val="TableContents"/>
              <w:bidi w:val="0"/>
              <w:spacing w:before="0" w:after="283"/>
              <w:jc w:val="both"/>
              <w:rPr/>
            </w:pPr>
            <w:r>
              <w:rPr/>
              <w:t>101.LAB</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07" w:type="dxa"/>
            <w:tcBorders/>
            <w:shd w:fill="CCEEFF" w:val="clear"/>
            <w:tcMar>
              <w:bottom w:w="0" w:type="dxa"/>
            </w:tcMar>
            <w:vAlign w:val="center"/>
          </w:tcPr>
          <w:p>
            <w:pPr>
              <w:pStyle w:val="TableContents"/>
              <w:bidi w:val="0"/>
              <w:spacing w:before="0" w:after="283"/>
              <w:jc w:val="both"/>
              <w:rPr/>
            </w:pPr>
            <w:r>
              <w:rPr/>
              <w:t>Inline XBRL Taxonomy Extension Labels Linkbase Document.</w:t>
            </w:r>
          </w:p>
        </w:tc>
      </w:tr>
      <w:tr>
        <w:trPr/>
        <w:tc>
          <w:tcPr>
            <w:tcW w:w="838" w:type="dxa"/>
            <w:tcBorders/>
            <w:shd w:fill="FFFFFF" w:val="clear"/>
            <w:tcMar>
              <w:bottom w:w="0" w:type="dxa"/>
            </w:tcMar>
            <w:vAlign w:val="center"/>
          </w:tcPr>
          <w:p>
            <w:pPr>
              <w:pStyle w:val="TableContents"/>
              <w:bidi w:val="0"/>
              <w:spacing w:before="0" w:after="283"/>
              <w:jc w:val="both"/>
              <w:rPr/>
            </w:pPr>
            <w:r>
              <w:rPr/>
              <w:t>101.PRE</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07" w:type="dxa"/>
            <w:tcBorders/>
            <w:shd w:fill="FFFFFF" w:val="clear"/>
            <w:tcMar>
              <w:bottom w:w="0" w:type="dxa"/>
            </w:tcMar>
            <w:vAlign w:val="center"/>
          </w:tcPr>
          <w:p>
            <w:pPr>
              <w:pStyle w:val="TableContents"/>
              <w:bidi w:val="0"/>
              <w:spacing w:before="0" w:after="283"/>
              <w:jc w:val="both"/>
              <w:rPr/>
            </w:pPr>
            <w:r>
              <w:rPr/>
              <w:t>Inline XBRL Taxonomy Extension Presentation Linkbase Document.</w:t>
            </w:r>
          </w:p>
        </w:tc>
      </w:tr>
      <w:tr>
        <w:trPr/>
        <w:tc>
          <w:tcPr>
            <w:tcW w:w="838"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07" w:type="dxa"/>
            <w:tcBorders/>
            <w:shd w:fill="CCEEFF" w:val="clear"/>
            <w:tcMar>
              <w:bottom w:w="0" w:type="dxa"/>
            </w:tcMar>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2135"/>
        <w:gridCol w:w="605"/>
        <w:gridCol w:w="3095"/>
      </w:tblGrid>
      <w:tr>
        <w:trPr/>
        <w:tc>
          <w:tcPr>
            <w:tcW w:w="213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Chanson International Holding</w:t>
            </w:r>
          </w:p>
        </w:tc>
      </w:tr>
      <w:tr>
        <w:trPr/>
        <w:tc>
          <w:tcPr>
            <w:tcW w:w="213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18, 2026</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Gang Li</w:t>
            </w:r>
          </w:p>
        </w:tc>
      </w:tr>
      <w:tr>
        <w:trPr/>
        <w:tc>
          <w:tcPr>
            <w:tcW w:w="213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213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w:t>
              <w:br/>
              <w:t xml:space="preserve">Chairman of the Board of Directors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67601ex99-1.htm"/>
      <w:bookmarkStart w:id="3" w:name="ksea030567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BALANCE SHEETS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2"/>
        <w:gridCol w:w="60"/>
        <w:gridCol w:w="140"/>
        <w:gridCol w:w="1100"/>
        <w:gridCol w:w="60"/>
        <w:gridCol w:w="60"/>
        <w:gridCol w:w="146"/>
        <w:gridCol w:w="1151"/>
        <w:gridCol w:w="76"/>
      </w:tblGrid>
      <w:tr>
        <w:trPr/>
        <w:tc>
          <w:tcPr>
            <w:tcW w:w="741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vAlign w:val="center"/>
          </w:tcPr>
          <w:p>
            <w:pPr>
              <w:pStyle w:val="TableContents"/>
              <w:bidi w:val="0"/>
              <w:spacing w:before="0" w:after="283"/>
              <w:jc w:val="center"/>
              <w:rPr>
                <w:b/>
              </w:rPr>
            </w:pPr>
            <w:r>
              <w:rPr>
                <w:b/>
              </w:rPr>
              <w:t>December 31,</w:t>
            </w:r>
          </w:p>
        </w:tc>
        <w:tc>
          <w:tcPr>
            <w:tcW w:w="76"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vAlign w:val="center"/>
          </w:tcPr>
          <w:p>
            <w:pPr>
              <w:pStyle w:val="TableContents"/>
              <w:bidi w:val="0"/>
              <w:spacing w:before="0" w:after="283"/>
              <w:jc w:val="center"/>
              <w:rPr/>
            </w:pPr>
            <w:r>
              <w:rPr/>
              <w:t>(Audited)</w:t>
            </w:r>
          </w:p>
        </w:tc>
        <w:tc>
          <w:tcPr>
            <w:tcW w:w="76"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20,005,381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8,644,357</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2,305,021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1,738,052</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742,540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830,597</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4,095,842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bidi w:val="0"/>
              <w:spacing w:before="0" w:after="283"/>
              <w:jc w:val="right"/>
              <w:rPr/>
            </w:pPr>
            <w:r>
              <w:rPr/>
              <w:t>972,787</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27,148,784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12,185,793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7,475,454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8,297,961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6,853,669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7,063,992</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208,125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226,250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Long-term security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774,639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776,419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Long-term debt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54,877,527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53,138,801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Long-term 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296,575</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70,460,514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69,799,998</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97,609,298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5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81,985,791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Short-term bank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368,051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51" w:type="dxa"/>
            <w:tcBorders/>
            <w:shd w:fill="FFFFFF" w:val="clear"/>
            <w:vAlign w:val="center"/>
          </w:tcPr>
          <w:p>
            <w:pPr>
              <w:pStyle w:val="TableContents"/>
              <w:bidi w:val="0"/>
              <w:spacing w:before="0" w:after="283"/>
              <w:jc w:val="right"/>
              <w:rPr/>
            </w:pPr>
            <w:r>
              <w:rPr/>
              <w:t>428,844</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Current portion of long-term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3,032,739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371,665</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3,549,437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3,779,261</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Due to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1,237,374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6,753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217,571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249,300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8,796,657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7,670,555</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1,774,537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1,777,697</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908,832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pPr>
            <w:r>
              <w:rPr/>
              <w:t>823,821</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19,885,198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15,107,896</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5,331,845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6,021,153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Long-term bank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1,943,308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bidi w:val="0"/>
              <w:spacing w:before="0" w:after="283"/>
              <w:jc w:val="right"/>
              <w:rPr/>
            </w:pPr>
            <w:r>
              <w:rPr/>
              <w:t>4,645,810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7,275,153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10,666,963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27,160,351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25,774,859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Ordinary shares, $0.01 par value, 41,250,000 shares authorized; 2,322,391 shares and 389,789 shares issued and outstanding as of June 30, 2026 and December 31, 2025, respectively: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Class A ordinary share, $0.01 par value, 41,100,000 shares authorized; 2,321,682 shares and 389,080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3,890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Class B ordinary share, $0.01 par value, 150,000 shares authorized; 709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7</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67,497,424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54,658,128</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Statutory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740,816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740,816</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1,348,913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499,986</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838,571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bidi w:val="0"/>
              <w:spacing w:before="0" w:after="283"/>
              <w:jc w:val="right"/>
              <w:rPr/>
            </w:pPr>
            <w:r>
              <w:rPr/>
              <w:t>308,105</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70,448,947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56,210,932</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97,609,298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81,985,791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to reflect the effects of the reverse share split on August 18, 2025 and May 7, 2026, and the Share Capital Reduction and Reorganization on March 13, 2026 (see Note 13).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OPERATIONS AND COMPREHENSIVE INCOME (LOSS) </w:t>
      </w:r>
    </w:p>
    <w:p>
      <w:pPr>
        <w:pStyle w:val="TextBody"/>
        <w:bidi w:val="0"/>
        <w:spacing w:before="0" w:after="283"/>
        <w:jc w:val="left"/>
        <w:rPr/>
      </w:pPr>
      <w:r>
        <w:rPr/>
        <w:t> </w:t>
      </w:r>
    </w:p>
    <w:tbl>
      <w:tblPr>
        <w:tblW w:w="8651" w:type="dxa"/>
        <w:jc w:val="left"/>
        <w:tblInd w:w="0" w:type="dxa"/>
        <w:tblLayout w:type="fixed"/>
        <w:tblCellMar>
          <w:top w:w="0" w:type="dxa"/>
          <w:left w:w="0" w:type="dxa"/>
          <w:bottom w:w="0" w:type="dxa"/>
          <w:right w:w="0" w:type="dxa"/>
        </w:tblCellMar>
      </w:tblPr>
      <w:tblGrid>
        <w:gridCol w:w="5705"/>
        <w:gridCol w:w="60"/>
        <w:gridCol w:w="157"/>
        <w:gridCol w:w="1102"/>
        <w:gridCol w:w="106"/>
        <w:gridCol w:w="67"/>
        <w:gridCol w:w="157"/>
        <w:gridCol w:w="1187"/>
        <w:gridCol w:w="11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b/>
              </w:rPr>
            </w:pPr>
            <w:r>
              <w:rPr>
                <w:b/>
              </w:rPr>
              <w:t>　</w:t>
            </w:r>
          </w:p>
        </w:tc>
        <w:tc>
          <w:tcPr>
            <w:tcW w:w="106"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center"/>
              <w:rPr>
                <w:b/>
              </w:rPr>
            </w:pPr>
            <w:r>
              <w:rPr>
                <w:b/>
              </w:rPr>
              <w:t>　</w:t>
            </w:r>
          </w:p>
        </w:tc>
        <w:tc>
          <w:tcPr>
            <w:tcW w:w="11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8,295,755</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8,688,208</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4,338,415</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4,822,856</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3,957,340</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3,865,352</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3,255,230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2,817,128</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1,484,017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2,238,769</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4,739,247</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5,055,897</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(781,907</w:t>
            </w:r>
          </w:p>
        </w:tc>
        <w:tc>
          <w:tcPr>
            <w:tcW w:w="106" w:type="dxa"/>
            <w:tcBorders/>
            <w:shd w:fill="FFFFFF" w:val="clear"/>
            <w:vAlign w:val="center"/>
          </w:tcPr>
          <w:p>
            <w:pPr>
              <w:pStyle w:val="TableContents"/>
              <w:bidi w:val="0"/>
              <w:spacing w:before="0" w:after="283"/>
              <w:jc w:val="left"/>
              <w:rPr>
                <w:b/>
              </w:rPr>
            </w:pPr>
            <w:r>
              <w:rPr>
                <w:b/>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(1,190,545</w:t>
            </w:r>
          </w:p>
        </w:tc>
        <w:tc>
          <w:tcPr>
            <w:tcW w:w="110" w:type="dxa"/>
            <w:tcBorders/>
            <w:shd w:fill="FFFFFF" w:val="clear"/>
            <w:vAlign w:val="center"/>
          </w:tcPr>
          <w:p>
            <w:pPr>
              <w:pStyle w:val="TableContents"/>
              <w:bidi w:val="0"/>
              <w:spacing w:before="0" w:after="283"/>
              <w:jc w:val="left"/>
              <w:rPr>
                <w:b/>
              </w:rPr>
            </w:pPr>
            <w:r>
              <w:rPr>
                <w:b/>
              </w:rPr>
              <w:t>)</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(114,031</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(78,343</w:t>
            </w:r>
          </w:p>
        </w:tc>
        <w:tc>
          <w:tcPr>
            <w:tcW w:w="11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(37,404</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(76,487</w:t>
            </w:r>
          </w:p>
        </w:tc>
        <w:tc>
          <w:tcPr>
            <w:tcW w:w="110" w:type="dxa"/>
            <w:tcBorders/>
            <w:shd w:fill="FFFFFF" w:val="clear"/>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pPr>
            <w:r>
              <w:rPr/>
              <w:t>Investment income from long-term debt investments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1,804,232</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359,014</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1,652,797</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204,184</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rPr>
            </w:pPr>
            <w:r>
              <w:rPr>
                <w:b/>
              </w:rPr>
              <w:t>PROFIT (LOSS) BEFORE INCOME TAX EXPENSE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b/>
              </w:rPr>
            </w:pPr>
            <w:r>
              <w:rPr>
                <w:b/>
              </w:rPr>
              <w:t>870,890</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b/>
              </w:rPr>
            </w:pPr>
            <w:r>
              <w:rPr>
                <w:b/>
              </w:rPr>
              <w:t>(986,361</w:t>
            </w:r>
          </w:p>
        </w:tc>
        <w:tc>
          <w:tcPr>
            <w:tcW w:w="110" w:type="dxa"/>
            <w:tcBorders/>
            <w:shd w:fill="FFFFFF" w:val="clear"/>
            <w:vAlign w:val="center"/>
          </w:tcPr>
          <w:p>
            <w:pPr>
              <w:pStyle w:val="TableContents"/>
              <w:bidi w:val="0"/>
              <w:spacing w:before="0" w:after="283"/>
              <w:jc w:val="left"/>
              <w:rPr>
                <w:b/>
              </w:rPr>
            </w:pPr>
            <w:r>
              <w:rPr>
                <w:b/>
              </w:rPr>
              <w:t>)</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b/>
              </w:rPr>
            </w:pPr>
            <w:r>
              <w:rPr>
                <w:b/>
              </w:rPr>
              <w:t>INCOME TAX EXPENSE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(21,963</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110" w:type="dxa"/>
            <w:tcBorders/>
            <w:shd w:fill="FFFFFF" w:val="clear"/>
            <w:vAlign w:val="center"/>
          </w:tcPr>
          <w:p>
            <w:pPr>
              <w:pStyle w:val="TableContents"/>
              <w:bidi w:val="0"/>
              <w:spacing w:before="0" w:after="283"/>
              <w:jc w:val="left"/>
              <w:rPr/>
            </w:pPr>
            <w:r>
              <w:rPr/>
              <w:t>)</w:t>
            </w:r>
          </w:p>
        </w:tc>
      </w:tr>
      <w:tr>
        <w:trPr/>
        <w:tc>
          <w:tcPr>
            <w:tcW w:w="570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b/>
              </w:rPr>
            </w:pPr>
            <w:r>
              <w:rPr>
                <w:b/>
              </w:rPr>
              <w:t>848,927</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b/>
              </w:rPr>
            </w:pPr>
            <w:r>
              <w:rPr>
                <w:b/>
              </w:rPr>
              <w:t>(1,048,793</w:t>
            </w:r>
          </w:p>
        </w:tc>
        <w:tc>
          <w:tcPr>
            <w:tcW w:w="110" w:type="dxa"/>
            <w:tcBorders/>
            <w:shd w:fill="CCEEFF" w:val="clear"/>
            <w:vAlign w:val="center"/>
          </w:tcPr>
          <w:p>
            <w:pPr>
              <w:pStyle w:val="TableContents"/>
              <w:bidi w:val="0"/>
              <w:spacing w:before="0" w:after="283"/>
              <w:jc w:val="left"/>
              <w:rPr>
                <w:b/>
              </w:rPr>
            </w:pPr>
            <w:r>
              <w:rPr>
                <w:b/>
              </w:rPr>
              <w:t>)</w:t>
            </w:r>
          </w:p>
        </w:tc>
      </w:tr>
      <w:tr>
        <w:trPr/>
        <w:tc>
          <w:tcPr>
            <w:tcW w:w="5705" w:type="dxa"/>
            <w:tcBorders/>
            <w:shd w:fill="FFFFFF" w:val="clear"/>
            <w:vAlign w:val="center"/>
          </w:tcPr>
          <w:p>
            <w:pPr>
              <w:pStyle w:val="TableContents"/>
              <w:bidi w:val="0"/>
              <w:spacing w:before="0" w:after="283"/>
              <w:jc w:val="left"/>
              <w:rPr/>
            </w:pPr>
            <w:r>
              <w:rPr/>
              <w:t>Foreign currency translation gain</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530,466</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257,368</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b/>
              </w:rPr>
            </w:pPr>
            <w:r>
              <w:rPr>
                <w:b/>
              </w:rPr>
              <w:t>TOTAL COMPREHENSIVE INCOME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1,379,393</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(791,425</w:t>
            </w:r>
          </w:p>
        </w:tc>
        <w:tc>
          <w:tcPr>
            <w:tcW w:w="110" w:type="dxa"/>
            <w:tcBorders/>
            <w:shd w:fill="CCEEFF" w:val="clear"/>
            <w:vAlign w:val="center"/>
          </w:tcPr>
          <w:p>
            <w:pPr>
              <w:pStyle w:val="TableContents"/>
              <w:bidi w:val="0"/>
              <w:spacing w:before="0" w:after="283"/>
              <w:jc w:val="left"/>
              <w:rPr>
                <w:b/>
              </w:rPr>
            </w:pPr>
            <w:r>
              <w:rPr>
                <w:b/>
              </w:rPr>
              <w:t>)</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b/>
              </w:rPr>
            </w:pPr>
            <w:r>
              <w:rPr>
                <w:b/>
              </w:rPr>
              <w:t>Earnings (loss) per ordinary share - basic and diluted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pPr>
            <w:r>
              <w:rPr/>
              <w:t>0.64</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pPr>
            <w:r>
              <w:rPr/>
              <w:t>(286.93</w:t>
            </w:r>
          </w:p>
        </w:tc>
        <w:tc>
          <w:tcPr>
            <w:tcW w:w="11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b/>
              </w:rPr>
            </w:pPr>
            <w:r>
              <w:rPr>
                <w:b/>
              </w:rPr>
              <w:t>Weighted average shares - basic and diluted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1,323,063</w:t>
            </w:r>
          </w:p>
        </w:tc>
        <w:tc>
          <w:tcPr>
            <w:tcW w:w="106"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3,655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023" w:type="dxa"/>
        <w:jc w:val="left"/>
        <w:tblInd w:w="0" w:type="dxa"/>
        <w:tblLayout w:type="fixed"/>
        <w:tblCellMar>
          <w:top w:w="0" w:type="dxa"/>
          <w:left w:w="0" w:type="dxa"/>
          <w:bottom w:w="0" w:type="dxa"/>
          <w:right w:w="0" w:type="dxa"/>
        </w:tblCellMar>
      </w:tblPr>
      <w:tblGrid>
        <w:gridCol w:w="38"/>
        <w:gridCol w:w="12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to reflect the effects of the reverse share split on August 18, 2025 and May 7, 2026 (see Note 13).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are an integral part of these unaudited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CHANGES IN SHAREHOLDERS’ EQUITY </w:t>
      </w:r>
    </w:p>
    <w:p>
      <w:pPr>
        <w:pStyle w:val="TextBody"/>
        <w:bidi w:val="0"/>
        <w:spacing w:before="0" w:after="283"/>
        <w:jc w:val="left"/>
        <w:rPr/>
      </w:pPr>
      <w:r>
        <w:rPr/>
        <w:t> </w:t>
      </w:r>
    </w:p>
    <w:tbl>
      <w:tblPr>
        <w:tblW w:w="12580" w:type="dxa"/>
        <w:jc w:val="left"/>
        <w:tblInd w:w="0" w:type="dxa"/>
        <w:tblLayout w:type="fixed"/>
        <w:tblCellMar>
          <w:top w:w="0" w:type="dxa"/>
          <w:left w:w="0" w:type="dxa"/>
          <w:bottom w:w="0" w:type="dxa"/>
          <w:right w:w="0" w:type="dxa"/>
        </w:tblCellMar>
      </w:tblPr>
      <w:tblGrid>
        <w:gridCol w:w="1010"/>
        <w:gridCol w:w="60"/>
        <w:gridCol w:w="60"/>
        <w:gridCol w:w="1055"/>
        <w:gridCol w:w="95"/>
        <w:gridCol w:w="60"/>
        <w:gridCol w:w="140"/>
        <w:gridCol w:w="755"/>
        <w:gridCol w:w="95"/>
        <w:gridCol w:w="60"/>
        <w:gridCol w:w="107"/>
        <w:gridCol w:w="678"/>
        <w:gridCol w:w="60"/>
        <w:gridCol w:w="60"/>
        <w:gridCol w:w="172"/>
        <w:gridCol w:w="688"/>
        <w:gridCol w:w="60"/>
        <w:gridCol w:w="60"/>
        <w:gridCol w:w="140"/>
        <w:gridCol w:w="1100"/>
        <w:gridCol w:w="95"/>
        <w:gridCol w:w="60"/>
        <w:gridCol w:w="145"/>
        <w:gridCol w:w="835"/>
        <w:gridCol w:w="60"/>
        <w:gridCol w:w="60"/>
        <w:gridCol w:w="169"/>
        <w:gridCol w:w="1276"/>
        <w:gridCol w:w="95"/>
        <w:gridCol w:w="60"/>
        <w:gridCol w:w="220"/>
        <w:gridCol w:w="1390"/>
        <w:gridCol w:w="95"/>
        <w:gridCol w:w="60"/>
        <w:gridCol w:w="154"/>
        <w:gridCol w:w="1216"/>
        <w:gridCol w:w="75"/>
      </w:tblGrid>
      <w:tr>
        <w:trPr/>
        <w:tc>
          <w:tcPr>
            <w:tcW w:w="101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 xml:space="preserve">Retained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 xml:space="preserve">Additional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 xml:space="preserve">Other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 xml:space="preserve">Total </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xml:space="preserve">Class A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rPr>
            </w:pPr>
            <w:r>
              <w:rPr>
                <w:b/>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 xml:space="preserve">Statutory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 xml:space="preserve">(Accumulated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30" w:type="dxa"/>
            </w:tcMar>
            <w:vAlign w:val="center"/>
          </w:tcPr>
          <w:p>
            <w:pPr>
              <w:pStyle w:val="TableContents"/>
              <w:bidi w:val="0"/>
              <w:spacing w:before="0" w:after="283"/>
              <w:jc w:val="center"/>
              <w:rPr/>
            </w:pPr>
            <w:r>
              <w:rPr/>
              <w:t> </w:t>
            </w:r>
            <w:r>
              <w:rPr>
                <w:rFonts w:ascii="Times New Roman;Times;Serif" w:hAnsi="Times New Roman;Times;Serif"/>
                <w:b/>
                <w:sz w:val="20"/>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b/>
              </w:rPr>
            </w:pPr>
            <w:r>
              <w:rPr>
                <w:b/>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21,629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b/>
              </w:rPr>
            </w:pPr>
            <w:r>
              <w:rPr>
                <w:b/>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b/>
              </w:rPr>
            </w:pPr>
            <w:r>
              <w:rPr>
                <w:b/>
              </w:rPr>
              <w:t>5,670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17,724,592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835" w:type="dxa"/>
            <w:tcBorders/>
            <w:shd w:fill="CCEEFF" w:val="clear"/>
            <w:vAlign w:val="center"/>
          </w:tcPr>
          <w:p>
            <w:pPr>
              <w:pStyle w:val="TableContents"/>
              <w:bidi w:val="0"/>
              <w:spacing w:before="0" w:after="283"/>
              <w:jc w:val="right"/>
              <w:rPr>
                <w:b/>
              </w:rPr>
            </w:pPr>
            <w:r>
              <w:rPr>
                <w:b/>
              </w:rPr>
              <w:t>661,924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b/>
              </w:rPr>
            </w:pPr>
            <w:r>
              <w:rPr>
                <w:b/>
              </w:rPr>
              <w:t>$</w:t>
            </w:r>
          </w:p>
        </w:tc>
        <w:tc>
          <w:tcPr>
            <w:tcW w:w="1276" w:type="dxa"/>
            <w:tcBorders/>
            <w:shd w:fill="CCEEFF" w:val="clear"/>
            <w:vAlign w:val="center"/>
          </w:tcPr>
          <w:p>
            <w:pPr>
              <w:pStyle w:val="TableContents"/>
              <w:bidi w:val="0"/>
              <w:spacing w:before="0" w:after="283"/>
              <w:jc w:val="right"/>
              <w:rPr>
                <w:b/>
              </w:rPr>
            </w:pPr>
            <w:r>
              <w:rPr>
                <w:b/>
              </w:rPr>
              <w:t>391,338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b/>
              </w:rPr>
            </w:pPr>
            <w:r>
              <w:rPr>
                <w:b/>
              </w:rPr>
              <w:t>$</w:t>
            </w:r>
          </w:p>
        </w:tc>
        <w:tc>
          <w:tcPr>
            <w:tcW w:w="1390" w:type="dxa"/>
            <w:tcBorders/>
            <w:shd w:fill="CCEEFF" w:val="clear"/>
            <w:vAlign w:val="center"/>
          </w:tcPr>
          <w:p>
            <w:pPr>
              <w:pStyle w:val="TableContents"/>
              <w:bidi w:val="0"/>
              <w:spacing w:before="0" w:after="283"/>
              <w:jc w:val="right"/>
              <w:rPr>
                <w:b/>
              </w:rPr>
            </w:pPr>
            <w:r>
              <w:rPr>
                <w:b/>
              </w:rPr>
              <w:t>(379,707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b/>
              </w:rPr>
            </w:pPr>
            <w:r>
              <w:rPr>
                <w:b/>
              </w:rPr>
              <w:t>$</w:t>
            </w:r>
          </w:p>
        </w:tc>
        <w:tc>
          <w:tcPr>
            <w:tcW w:w="1216" w:type="dxa"/>
            <w:tcBorders/>
            <w:shd w:fill="CCEEFF" w:val="clear"/>
            <w:vAlign w:val="center"/>
          </w:tcPr>
          <w:p>
            <w:pPr>
              <w:pStyle w:val="TableContents"/>
              <w:bidi w:val="0"/>
              <w:spacing w:before="0" w:after="283"/>
              <w:jc w:val="right"/>
              <w:rPr/>
            </w:pPr>
            <w:r>
              <w:rPr>
                <w:b/>
              </w:rPr>
              <w:t>18,425,44</w:t>
            </w:r>
            <w:r>
              <w:rPr/>
              <w:t>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Issuance of the Equity Security Units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6,894,134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6,910,134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Share issuance for warrants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(1,048,793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(1,048,793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010" w:type="dxa"/>
            <w:tcBorders/>
            <w:shd w:fill="FFFFFF" w:val="clear"/>
            <w:vAlign w:val="center"/>
          </w:tcPr>
          <w:p>
            <w:pPr>
              <w:pStyle w:val="TableContents"/>
              <w:bidi w:val="0"/>
              <w:spacing w:before="0" w:after="283"/>
              <w:jc w:val="left"/>
              <w:rPr/>
            </w:pPr>
            <w:r>
              <w:rPr/>
              <w:t>Foreign currency translation gain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257,368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257,368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45,802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24,610,553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661,924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(657,455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(122,339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24,544,155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b/>
              </w:rPr>
            </w:pPr>
            <w:r>
              <w:rPr>
                <w:b/>
              </w:rPr>
              <w:t>Balance, January 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389,080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3,890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b/>
              </w:rPr>
            </w:pPr>
            <w:r>
              <w:rPr>
                <w:b/>
              </w:rPr>
              <w:t>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b/>
              </w:rPr>
            </w:pPr>
            <w:r>
              <w:rPr>
                <w:b/>
              </w:rPr>
              <w:t>$</w:t>
            </w:r>
          </w:p>
        </w:tc>
        <w:tc>
          <w:tcPr>
            <w:tcW w:w="688" w:type="dxa"/>
            <w:tcBorders/>
            <w:shd w:fill="FFFFFF" w:val="cle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54,658,128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b/>
              </w:rPr>
            </w:pPr>
            <w:r>
              <w:rPr>
                <w:b/>
              </w:rPr>
              <w:t>$</w:t>
            </w:r>
          </w:p>
        </w:tc>
        <w:tc>
          <w:tcPr>
            <w:tcW w:w="835" w:type="dxa"/>
            <w:tcBorders/>
            <w:shd w:fill="FFFFFF" w:val="clear"/>
            <w:vAlign w:val="center"/>
          </w:tcPr>
          <w:p>
            <w:pPr>
              <w:pStyle w:val="TableContents"/>
              <w:bidi w:val="0"/>
              <w:spacing w:before="0" w:after="283"/>
              <w:jc w:val="right"/>
              <w:rPr>
                <w:b/>
              </w:rPr>
            </w:pPr>
            <w:r>
              <w:rPr>
                <w:b/>
              </w:rPr>
              <w:t>740,816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b/>
              </w:rPr>
            </w:pPr>
            <w:r>
              <w:rPr>
                <w:b/>
              </w:rPr>
              <w:t>$</w:t>
            </w:r>
          </w:p>
        </w:tc>
        <w:tc>
          <w:tcPr>
            <w:tcW w:w="1276" w:type="dxa"/>
            <w:tcBorders/>
            <w:shd w:fill="FFFFFF" w:val="clear"/>
            <w:vAlign w:val="center"/>
          </w:tcPr>
          <w:p>
            <w:pPr>
              <w:pStyle w:val="TableContents"/>
              <w:bidi w:val="0"/>
              <w:spacing w:before="0" w:after="283"/>
              <w:jc w:val="right"/>
              <w:rPr>
                <w:b/>
              </w:rPr>
            </w:pPr>
            <w:r>
              <w:rPr>
                <w:b/>
              </w:rPr>
              <w:t>499,986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b/>
              </w:rPr>
            </w:pPr>
            <w:r>
              <w:rPr>
                <w:b/>
              </w:rPr>
              <w:t>$</w:t>
            </w:r>
          </w:p>
        </w:tc>
        <w:tc>
          <w:tcPr>
            <w:tcW w:w="1390" w:type="dxa"/>
            <w:tcBorders/>
            <w:shd w:fill="FFFFFF" w:val="clear"/>
            <w:vAlign w:val="center"/>
          </w:tcPr>
          <w:p>
            <w:pPr>
              <w:pStyle w:val="TableContents"/>
              <w:bidi w:val="0"/>
              <w:spacing w:before="0" w:after="283"/>
              <w:jc w:val="right"/>
              <w:rPr>
                <w:b/>
              </w:rPr>
            </w:pPr>
            <w:r>
              <w:rPr>
                <w:b/>
              </w:rPr>
              <w:t>308,105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b/>
              </w:rPr>
            </w:pPr>
            <w:r>
              <w:rPr>
                <w:b/>
              </w:rPr>
              <w:t>$</w:t>
            </w:r>
          </w:p>
        </w:tc>
        <w:tc>
          <w:tcPr>
            <w:tcW w:w="1216" w:type="dxa"/>
            <w:tcBorders/>
            <w:shd w:fill="FFFFFF" w:val="clear"/>
            <w:vAlign w:val="center"/>
          </w:tcPr>
          <w:p>
            <w:pPr>
              <w:pStyle w:val="TableContents"/>
              <w:bidi w:val="0"/>
              <w:spacing w:before="0" w:after="283"/>
              <w:jc w:val="right"/>
              <w:rPr>
                <w:b/>
              </w:rPr>
            </w:pPr>
            <w:r>
              <w:rPr>
                <w:b/>
              </w:rPr>
              <w:t>56,210,932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Issuance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12,826,122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12,858,622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Surrender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(1,317,429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Effect of rounding fractional shares into whole shares upon the reverse share split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848,927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848,927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pPr>
            <w:r>
              <w:rPr/>
              <w:t>Foreign currency translation gain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530,466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530,466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b/>
              </w:rPr>
            </w:pPr>
            <w:r>
              <w:rPr>
                <w:b/>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2,321,682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23,216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67,497,424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FFFFFF" w:val="clear"/>
            <w:tcMar>
              <w:bottom w:w="28" w:type="dxa"/>
            </w:tcMar>
            <w:vAlign w:val="center"/>
          </w:tcPr>
          <w:p>
            <w:pPr>
              <w:pStyle w:val="TableContents"/>
              <w:bidi w:val="0"/>
              <w:spacing w:before="0" w:after="283"/>
              <w:jc w:val="right"/>
              <w:rPr/>
            </w:pPr>
            <w:r>
              <w:rPr/>
              <w:t>740,816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FFFFFF" w:val="clear"/>
            <w:tcMar>
              <w:bottom w:w="28" w:type="dxa"/>
            </w:tcMar>
            <w:vAlign w:val="center"/>
          </w:tcPr>
          <w:p>
            <w:pPr>
              <w:pStyle w:val="TableContents"/>
              <w:bidi w:val="0"/>
              <w:spacing w:before="0" w:after="283"/>
              <w:jc w:val="right"/>
              <w:rPr/>
            </w:pPr>
            <w:r>
              <w:rPr/>
              <w:t>1,348,913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838,571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70,448,947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Retrospectively restated to reflect the effects of the reverse share split on August 18, 2025 and May 7, 2026, and the Share Capital Reduction and Reorganization on March 13, 2026 (see Note 13).</w:t>
            </w:r>
          </w:p>
        </w:tc>
      </w:tr>
    </w:tbl>
    <w:tbl>
      <w:tblPr>
        <w:tblW w:w="6363" w:type="dxa"/>
        <w:jc w:val="left"/>
        <w:tblInd w:w="0" w:type="dxa"/>
        <w:tblLayout w:type="fixed"/>
        <w:tblCellMar>
          <w:top w:w="0" w:type="dxa"/>
          <w:left w:w="0" w:type="dxa"/>
          <w:bottom w:w="0" w:type="dxa"/>
          <w:right w:w="0" w:type="dxa"/>
        </w:tblCellMar>
      </w:tblPr>
      <w:tblGrid>
        <w:gridCol w:w="38"/>
        <w:gridCol w:w="14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The Equity Security Units issued on June 13, 2025 (see Note 13)</w:t>
            </w:r>
          </w:p>
        </w:tc>
      </w:tr>
    </w:tbl>
    <w:p>
      <w:pPr>
        <w:pStyle w:val="TextBody"/>
        <w:bidi w:val="0"/>
        <w:spacing w:before="0" w:after="0"/>
        <w:ind w:left="10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CHANSON INTERNATIONAL HOLDING AND SUBSIDIARIES</w:t>
      </w:r>
    </w:p>
    <w:p>
      <w:pPr>
        <w:pStyle w:val="TextBody"/>
        <w:bidi w:val="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332"/>
        <w:gridCol w:w="60"/>
        <w:gridCol w:w="144"/>
        <w:gridCol w:w="1134"/>
        <w:gridCol w:w="97"/>
        <w:gridCol w:w="61"/>
        <w:gridCol w:w="144"/>
        <w:gridCol w:w="1134"/>
        <w:gridCol w:w="99"/>
      </w:tblGrid>
      <w:tr>
        <w:trPr/>
        <w:tc>
          <w:tcPr>
            <w:tcW w:w="733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1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99" w:type="dxa"/>
            <w:tcBorders/>
            <w:vAlign w:val="center"/>
          </w:tcPr>
          <w:p>
            <w:pPr>
              <w:pStyle w:val="TableContents"/>
              <w:bidi w:val="0"/>
              <w:spacing w:before="0" w:after="283"/>
              <w:ind w:left="0" w:right="0" w:hanging="180"/>
              <w:jc w:val="left"/>
              <w:rPr/>
            </w:pPr>
            <w:r>
              <w:rPr/>
              <w:t> </w:t>
            </w:r>
          </w:p>
        </w:tc>
      </w:tr>
      <w:tr>
        <w:trPr/>
        <w:tc>
          <w:tcPr>
            <w:tcW w:w="73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ind w:left="0" w:right="0" w:hanging="180"/>
              <w:jc w:val="left"/>
              <w:rPr/>
            </w:pPr>
            <w:r>
              <w:rPr/>
              <w:t> </w:t>
            </w:r>
          </w:p>
        </w:tc>
      </w:tr>
      <w:tr>
        <w:trPr/>
        <w:tc>
          <w:tcPr>
            <w:tcW w:w="733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848,927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(1,048,793</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7332" w:type="dxa"/>
            <w:tcBorders/>
            <w:shd w:fill="FFFFFF" w:val="clear"/>
            <w:vAlign w:val="center"/>
          </w:tcPr>
          <w:p>
            <w:pPr>
              <w:pStyle w:val="TableContents"/>
              <w:bidi w:val="0"/>
              <w:spacing w:before="0" w:after="283"/>
              <w:jc w:val="left"/>
              <w:rPr>
                <w:b/>
              </w:rPr>
            </w:pPr>
            <w:r>
              <w:rPr>
                <w:b/>
              </w:rPr>
              <w:t>Adjustments to reconcile net income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924,517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1,277,452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557,831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392,976</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92,051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Write off of bad debts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500,000</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77,505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Accrued interest income from long-term debt investments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(1,804,232</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(359,014</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7332"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(601,871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(1,387,301</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733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109,452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37,621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(3,176,240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372,248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Long-term security deposits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14,333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269,171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Long-term prepaid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33,971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44,851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(331,794</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277,671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(33,481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124,895</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887,926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403,151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63,861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255,300</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(778,305</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(1,628,032</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7332"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(3,193,054</w:t>
            </w:r>
          </w:p>
        </w:tc>
        <w:tc>
          <w:tcPr>
            <w:tcW w:w="97" w:type="dxa"/>
            <w:tcBorders/>
            <w:shd w:fill="FFFFFF" w:val="clear"/>
            <w:vAlign w:val="center"/>
          </w:tcPr>
          <w:p>
            <w:pPr>
              <w:pStyle w:val="TableContents"/>
              <w:bidi w:val="0"/>
              <w:spacing w:before="0" w:after="283"/>
              <w:jc w:val="left"/>
              <w:rPr>
                <w:b/>
              </w:rPr>
            </w:pPr>
            <w:r>
              <w:rPr>
                <w:b/>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(390,299</w:t>
            </w:r>
          </w:p>
        </w:tc>
        <w:tc>
          <w:tcPr>
            <w:tcW w:w="99" w:type="dxa"/>
            <w:tcBorders/>
            <w:shd w:fill="FFFFFF" w:val="clear"/>
            <w:vAlign w:val="center"/>
          </w:tcPr>
          <w:p>
            <w:pPr>
              <w:pStyle w:val="TableContents"/>
              <w:bidi w:val="0"/>
              <w:spacing w:before="0" w:after="283"/>
              <w:ind w:left="0" w:right="0" w:hanging="180"/>
              <w:jc w:val="left"/>
              <w:rPr>
                <w:b/>
              </w:rPr>
            </w:pPr>
            <w:r>
              <w:rPr>
                <w:b/>
              </w:rPr>
              <w:t>)</w:t>
            </w:r>
          </w:p>
        </w:tc>
      </w:tr>
      <w:tr>
        <w:trPr/>
        <w:tc>
          <w:tcPr>
            <w:tcW w:w="7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(159,331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(310,368</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7332" w:type="dxa"/>
            <w:tcBorders/>
            <w:shd w:fill="FFFFFF" w:val="clear"/>
            <w:vAlign w:val="center"/>
          </w:tcPr>
          <w:p>
            <w:pPr>
              <w:pStyle w:val="TableContents"/>
              <w:bidi w:val="0"/>
              <w:spacing w:before="0" w:after="283"/>
              <w:jc w:val="left"/>
              <w:rPr/>
            </w:pPr>
            <w:r>
              <w:rPr/>
              <w:t>Interest income received from long term debt investment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503,418</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359,014</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Repayment from loans to third parties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1,500,000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b/>
              </w:rPr>
            </w:pPr>
            <w:r>
              <w:rPr>
                <w:b/>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344,087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1,548,646</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Proceeds from sales of the Equity Security Units, net of issuance costs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6,910,134</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Proceeds from sales of ordinary shares, net of issuance costs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12,954,871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Proceeds from short-term bank loans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364,107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413,658</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Repayments of short-term bank loans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(436,928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(1,516,747</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7332" w:type="dxa"/>
            <w:tcBorders/>
            <w:shd w:fill="CCEEFF" w:val="clear"/>
            <w:vAlign w:val="center"/>
          </w:tcPr>
          <w:p>
            <w:pPr>
              <w:pStyle w:val="TableContents"/>
              <w:bidi w:val="0"/>
              <w:spacing w:before="0" w:after="283"/>
              <w:jc w:val="left"/>
              <w:rPr/>
            </w:pPr>
            <w:r>
              <w:rPr/>
              <w:t>Proceeds from long-term bank loans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4,412,355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Repayments of long-term bank loans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(189,336</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Advances received from (payments made to) a related party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1,274,972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(1,640,710</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7332" w:type="dxa"/>
            <w:tcBorders/>
            <w:shd w:fill="FFFFFF" w:val="clear"/>
            <w:vAlign w:val="center"/>
          </w:tcPr>
          <w:p>
            <w:pPr>
              <w:pStyle w:val="TableContents"/>
              <w:bidi w:val="0"/>
              <w:spacing w:before="0" w:after="283"/>
              <w:jc w:val="left"/>
              <w:rPr/>
            </w:pPr>
            <w:r>
              <w:rPr/>
              <w:t>Payments made for deferred offering costs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(26,250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13,941,436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8,578,690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Effect of exchange rate fluctuation on cash and cash equivalents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268,555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252,355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b/>
              </w:rPr>
            </w:pPr>
            <w:r>
              <w:rPr>
                <w:b/>
              </w:rPr>
              <w:t>11,361,024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b/>
              </w:rPr>
            </w:pPr>
            <w:r>
              <w:rPr>
                <w:b/>
              </w:rPr>
              <w:t>9,989,392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b/>
              </w:rPr>
            </w:pPr>
            <w:r>
              <w:rPr>
                <w:b/>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8,644,357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12,102,763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20,005,381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22,092,155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14,995</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110,603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74,745</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b/>
              </w:rPr>
            </w:pPr>
            <w:r>
              <w:rPr>
                <w:b/>
              </w:rPr>
              <w:t>Non-cash operating,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Property and equipment acquired in settlement of the amount due from a related party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954,293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Reduction of right-of-use assets and operating lease obligations due to early termination or modification of lease agreement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pPr>
            <w:r>
              <w:rPr/>
              <w:t>598,907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pPr>
            <w:r>
              <w:rPr/>
              <w:t>270,532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7332" w:type="dxa"/>
            <w:tcBorders/>
            <w:shd w:fill="FFFFFF" w:val="clear"/>
            <w:vAlign w:val="center"/>
          </w:tcPr>
          <w:p>
            <w:pPr>
              <w:pStyle w:val="TableContents"/>
              <w:bidi w:val="0"/>
              <w:spacing w:before="0" w:after="283"/>
              <w:jc w:val="left"/>
              <w:rPr/>
            </w:pPr>
            <w:r>
              <w:rPr/>
              <w:t>Right of use assets obtained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550,427</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1,560,535</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7332" w:type="dxa"/>
            <w:tcBorders/>
            <w:shd w:fill="CCEEFF" w:val="clear"/>
            <w:vAlign w:val="center"/>
          </w:tcPr>
          <w:p>
            <w:pPr>
              <w:pStyle w:val="TableContents"/>
              <w:bidi w:val="0"/>
              <w:spacing w:before="0" w:after="283"/>
              <w:jc w:val="left"/>
              <w:rPr/>
            </w:pPr>
            <w:r>
              <w:rPr/>
              <w:t>Deferred offering cost offset with additional paid-in capital</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pPr>
            <w:r>
              <w:rPr/>
              <w:t>96,250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firstLine="5701"/>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Chanson International Holding (“Chanson International,” or the “Company”), formerly known as RON Holding Limited, was incorporated under the laws of the Cayman Islands on July 26, 2019 as a holding company. Chanson International owns 100% of the equity interests of Deen Global Limited (“Deen Global”), a limited liability company incorporated under the laws of British Virgin Islands (“BVI”) on August 13, 2019. Deen Global owns 100% of the equity interests of Jenyd Holdings Limited (“Jenyd”), a business company incorporated in accordance with the laws and regulations of Hong Kong on September 13, 2019.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International, Deen Global, and Jenyd do not currently engage in any active business operations and act solely as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Xinjiang United Family Trading Co., Ltd. (“Xinjiang United Family”), is a company incorporated in the People’s Republic of China (the “PRC”) on August 7, 2009. On September 27, 2020, the original shareholders of Xinjiang United Family entered into a share transfer agreement pursuant to which they transferred their 100% ownership interest in Xinjiang United Family to Jenyd. Accordingly Xinjiang United Family became a wholly foreign-owned enterprise (“WFOE”) and a wholly-owned subsidiary of Jenyd.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2025, Xinjiang United Family incorporated a wholly-owned subsidiary, Urumqi George Chanson Trading Co., Ltd. (“George Chanson Trading”) in the PRC, which is engaged in the business of sales and distribution of bakery and beverage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and its subsidiary, George Chanson Trading, operate a bakery chain in China’s Xinjiang Uygur Autonomous Region under the brand name of “George●Chanson”. The chain currently consists of eight directly owned, high-end bakery stores in Urumqi and 45 bakery stores organized as individually owned businesses and collectively known as the United Family Group (each a “UFG entity” and, collectively, the “UFG entities”) in the Xinjiang region. The UFG entities are owned by the original shareholders of Xinjiang United Family but are operated pursuant to a series of contractual arrangements entered into between their respective owners and Xinjiang United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2015, Xinjiang United Family incorporated a wholly-owned subsidiary, George Chanson (NY) Corp. (“Chanson NY”), in the State of New York, which owns and operates Chanson 23rd Street LLC (“Chanson 23rd Street”), a modern European-style café and eatery that specializes in the art of making French-style viennoiseries and pastries in the heart of Manhattan’s Flatiron District. On February 20, 2020, the Company’s Chairman, Mr. Gang Li, formed Chanson 355 Greenwich LLC (“Chanson Greenwich”), a New York limited liability company, and subsequently assigned his membership interests in Chanson Greenwich to Chanson NY on September 28, 2020. After the transfer, Chanson Greenwich became a wholly owned subsidiary of Chanson NY. Chanson Greenwich is another boutique café in Manhattan that opened in December 2021 and closed in the second half of fiscal year 2023. On April 21, 2021, Chanson NY formed a wholly owned subsidiary, Chanson Management LLC, a Delaware limited liability company. On August 5, 2021, Chanson NY formed a wholly owned subsidiary, Chanson 1293 3rd Ave LLC (“Chanson 3rd Ave”), a New York limited liability company. On March 21, 2022, Chanson NY formed a wholly owned subsidiary, Chanson 2040 Broadway LLC (“Chanson Broadway”), a New York limited liability company. Chanson 3rd Ave and Chanson Broadway are another two boutique cafés opened in March 2023 and July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initial public offering, the Company has undertaken a reorganization of its legal structure (the “Reorganization”). The Reorganization involved the incorporation of Chanson International, Deen Global, and Jenyd, the execution of a Share Transfer Agreement pursuant to which the ownership interest in Xinjiang United Family was transferred from its original shareholders to Jenyd, and the execution of a series of contractual agreements between Xinjiang United Family and the owners of the UFG entities. After the Reorganization, Chanson International became the ultimate holding company of Xinjiang United Family and Xinjiang United Family became the primary beneficiary of the UFG entities through the VIE Agreements, as further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entered into a series of contractual arrangements with the owners of the 22 UFG entities on May 2, 2020, and with the owners of three newly established UFG entities in fiscal year 2020, five newly established UFG entities in fiscal year 2021, one newly established UFG entity in fiscal year 2022, nine newly established UFG entity in fiscal year 2023, twenty newly established UFG entities in fiscal year 2024, four newly established UFG entities in fiscal year 2025, and three newly established UFG entities in fiscal year 2026, respectively. Three of these UFG entities were closed in fiscal year 2021, three of these UFG entities were closed in fiscal year 2023, two of these UFG entities were closed in fiscal year 2024, three of these UFG entities were closed in fiscal year 2025 and nine of these UFG entities were closed in fiscal year 2026. Two of these UFG entities were converted into franchise stores in fiscal year 2026. These agreements include Exclusive Service Agreements, Pledge Agreements, Call Option Agreements, Operating Rights Proxy and Powers of Attorney Agreements and Spousal Consents (collectively, the “VIE Agreements”). Pursuant to the above VIE Agreements, Xinjiang United Family has the exclusive right to provide the UFG entities with consulting services related to business operations including operational and management consulting services. The VIE Agreements obligate Xinjiang United Family to absorb all of the risk of loss from business activities of these UFG entities and entitle Xinjiang United Family to receive all of their residual returns. In essence, Xinjiang United Family has the power to direct activities of the UFG entities that most significantly impact their economic performance, and the right to receive benefits from the UFG entities that could potentially be significant to Xinjiang United Family. Therefore, the Company believes that Xinjiang United Family has a controlling financial interest in and is the primary beneficiary of the UFG entities and that these UFG entities should be considered as Variable Interest Entities (“VIEs”) under the Statement of Financial Accounting Standards Board (“FASB”) Accounting Standards Codification (“ASC”)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The eight bakery stores directly owned by Xinjiang United Family and the UFG entities controlled through the VIE Agreements are collectively referred to herein as the “PRC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together with its wholly owned subsidiaries, was under the common control of the same shareholders before and after the Reorganization. Accordingly, the Reorganization was accounted for as a transaction among entities under common control, and the accompanying consolidated financial statements were prepared using the historical carrying amounts of the entities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Reorganization, the unaudited condensed consolidated financial statements of the Company include the following entities: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32"/>
        <w:gridCol w:w="60"/>
        <w:gridCol w:w="1408"/>
        <w:gridCol w:w="60"/>
        <w:gridCol w:w="1462"/>
        <w:gridCol w:w="60"/>
        <w:gridCol w:w="1083"/>
        <w:gridCol w:w="60"/>
        <w:gridCol w:w="4380"/>
      </w:tblGrid>
      <w:tr>
        <w:trPr/>
        <w:tc>
          <w:tcPr>
            <w:tcW w:w="163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Entity</w:t>
            </w:r>
          </w:p>
        </w:tc>
        <w:tc>
          <w:tcPr>
            <w:tcW w:w="60" w:type="dxa"/>
            <w:tcBorders/>
            <w:tcMar>
              <w:bottom w:w="0" w:type="dxa"/>
            </w:tcMar>
            <w:vAlign w:val="center"/>
          </w:tcPr>
          <w:p>
            <w:pPr>
              <w:pStyle w:val="TableContents"/>
              <w:bidi w:val="0"/>
              <w:spacing w:before="0" w:after="283"/>
              <w:jc w:val="center"/>
              <w:rPr/>
            </w:pPr>
            <w:r>
              <w:rPr/>
              <w:t> </w:t>
            </w:r>
          </w:p>
        </w:tc>
        <w:tc>
          <w:tcPr>
            <w:tcW w:w="140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46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08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Ownership  </w:t>
            </w:r>
          </w:p>
        </w:tc>
        <w:tc>
          <w:tcPr>
            <w:tcW w:w="60" w:type="dxa"/>
            <w:tcBorders/>
            <w:tcMar>
              <w:bottom w:w="0" w:type="dxa"/>
            </w:tcMar>
            <w:vAlign w:val="center"/>
          </w:tcPr>
          <w:p>
            <w:pPr>
              <w:pStyle w:val="TableContents"/>
              <w:bidi w:val="0"/>
              <w:spacing w:before="0" w:after="283"/>
              <w:jc w:val="center"/>
              <w:rPr/>
            </w:pPr>
            <w:r>
              <w:rPr/>
              <w:t> </w:t>
            </w:r>
          </w:p>
        </w:tc>
        <w:tc>
          <w:tcPr>
            <w:tcW w:w="4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Activities</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International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26,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Parent, 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Investment holding</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Deen Global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13,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Investment holding</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Jenyd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2019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Investment holding</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2009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Consultancy and information technology support; sells bakery and beverage products to customers</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Chanson Trading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 2025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Sales and distribution of bakery and beverage products</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 UFG entities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 to 2026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VIEs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Sells bakery products and beverages to customers</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NY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17, 2015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Holding company. Consultancy and information technology support</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23rd Street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18, 2015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Greenwich</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 closed in the second half of fiscal year 2023</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Management LLC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21, 2021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Consultancy and management support</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3rd Ave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w:t>
            </w:r>
          </w:p>
        </w:tc>
      </w:tr>
      <w:tr>
        <w:trPr/>
        <w:tc>
          <w:tcPr>
            <w:tcW w:w="163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0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6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380" w:type="dxa"/>
            <w:tcBorders/>
            <w:shd w:fill="FFFFFF" w:val="clear"/>
            <w:tcMar>
              <w:bottom w:w="0" w:type="dxa"/>
            </w:tcMar>
            <w:vAlign w:val="center"/>
          </w:tcPr>
          <w:p>
            <w:pPr>
              <w:pStyle w:val="TableContents"/>
              <w:bidi w:val="0"/>
              <w:spacing w:before="0" w:after="283"/>
              <w:jc w:val="center"/>
              <w:rPr/>
            </w:pPr>
            <w:r>
              <w:rPr/>
              <w:t> </w:t>
            </w:r>
          </w:p>
        </w:tc>
      </w:tr>
      <w:tr>
        <w:trPr/>
        <w:tc>
          <w:tcPr>
            <w:tcW w:w="16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Broadway</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21, 2022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83" w:type="dxa"/>
            <w:tcBorders/>
            <w:shd w:fill="CCEEFF" w:val="clear"/>
            <w:tcMar>
              <w:bottom w:w="0" w:type="dxa"/>
            </w:tcMar>
            <w:vAlign w:val="center"/>
          </w:tcPr>
          <w:p>
            <w:pPr>
              <w:pStyle w:val="TableContents"/>
              <w:bidi w:val="0"/>
              <w:spacing w:before="0" w:after="283"/>
              <w:jc w:val="center"/>
              <w:rPr/>
            </w:pPr>
            <w:r>
              <w:rPr/>
              <w:t xml:space="preserve">  </w:t>
            </w:r>
            <w:r>
              <w:rPr>
                <w:rFonts w:ascii="Times New Roman;Times;Serif" w:hAnsi="Times New Roman;Times;Serif"/>
                <w:sz w:val="20"/>
              </w:rPr>
              <w:t>100 %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VIE contractual arrangements</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UFG entities are controlled by the Company through contractual arrangements in lieu of direct equity ownership by the Company or any of its subsidiaries.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VIE is an entity that either has a total equity investment that is insufficient to finance its activities without additional subordinated financial support, or whose equity investors lack the characteristics of a controlling financial interest, such as through voting rights, right to receive the expected residual returns of the entity, or obligation to absorb the expected losses of the entity. The variable interest holder, if any, that has a controlling financial interest in a VIE is deemed to be the primary beneficiary of, and must consolidate, the VIE.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and its subsidiary is deemed to have a controlling financial interest in and be the primary beneficiary of the UFG entities because it has both of the following characteristics:</w:t>
      </w:r>
    </w:p>
    <w:p>
      <w:pPr>
        <w:pStyle w:val="TextBody"/>
        <w:bidi w:val="0"/>
        <w:spacing w:before="0" w:after="0"/>
        <w:ind w:left="0" w:right="0" w:firstLine="72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17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power to direct activities at the UFG entities that most significantly impact such entities’ economic performance,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 to absorb losses of, and the right to receive benefits from, the UFG entities that could potentially be significant to such entities.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contractual arrangements with the UFG entities, the UFG entities pay service fees equal to all of their net profit after tax payments to Xinjiang United Family and its subsidiary. At the same time, Xinjiang United Family and its subsidiary are obligated to absorb all of their losses. Such contractual arrangements are designed so that the operation of the UFG entities is for the benefit of Xinjiang United Family and, ultimately,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associated with the VIE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contractual arrangements with the UFG entities and their respective owners are in compliance with PRC laws and regulations and are legally enforceable. However, uncertainties in the PRC legal system could limit the Company’s ability to enforce such contractual arrangements. If the legal structure and contractual arrangements were found to be in violation of PRC laws and regulations, the PRC government could:</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revoke the business and operating licenses of the Company’s PRC subsidiaries and the UFG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discontinue or restrict the operations of any related-party transactions between the Company’s PRC subsidiaries and the UFG entities;</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Company’s business expansion in China by way of entering into contractual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impose fines or other requirements with which the Company’s PRC subsidiaries and the UFG entities may not be able to comply;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Company or the Company’s PRC subsidiaries and the UFG entities to restructure the relevant ownership structure or operations;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or prohibit the Company’s use of the proceeds from its public offering to finance the Company’s business and operations in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conduct its consulting services business may be negatively affected if the PRC government were to carry out of any of the aforementioned actions. As a result, the Company may not be able to consolidate the UFG entities in its unaudited condensed consolidated financial statements as it may lose the ability to direct activities of the UFG entities and receive economic benefits from the UFG entities. The Company, however, does not believe such actions would result in the liquidation or dissolution of the Company and its PRC subsidiaries and the UFG entities. The financial position, operation, and cash flow of the UFG entities are material to total assets and liabilities presented on the unaudited condensed consolidated balance sheets and revenue, expenses, and net income (loss) presented on the unaudited condensed consolidated statements of operations and other comprehensive income (loss) as well as the cash flows from operating, investing, and financing activities presented on the unaudited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did not provide any financial support to the UFG entities for the six months ended June 30, 2026 and 2025. The Company had no contractual obligation to provide financial support to the VIEs as of June 30, 2026 and December 31, 2025. The amount of the revenue-producing assets held by the VIEs was $3,338,164, including $796,335 of bakery production equipment, $180,441 of office equipment and furniture, and $2,361,388 of leasehold improvement, with the accumulated depreciation of $1,437,540, so net of these property, plant, and equipment was $1,900,624 as of June 30, 2026. The amount of the revenue-producing assets held by the VIEs was $3,256,931, including $755,667 of bakery production equipment, $160,475 of office equipment and furniture, and $2,340,789 of leasehold improvement, with the accumulated depreciation of $1,120,550, so net of these property, plant, and equipment was $2,136,381 as of December 31, 2025. In addition to property and equipment, the VIEs also hold other operating assets, including cash and cash equivalents, receivables, and inventories, as reflected in the table below. The following financial statement amounts and balances of the UFG entities were included in the accompanying unaudited condensed consolidated financial statements after elimination of intercompany transactions and balances: </w:t>
      </w:r>
    </w:p>
    <w:p>
      <w:pPr>
        <w:pStyle w:val="TextBody"/>
        <w:bidi w:val="0"/>
        <w:spacing w:before="0" w:after="0"/>
        <w:ind w:left="0" w:right="0" w:hanging="0"/>
        <w:jc w:val="left"/>
        <w:rPr>
          <w:caps w:val="false"/>
          <w:smallCaps w:val="false"/>
        </w:rPr>
      </w:pPr>
      <w:r>
        <w:rPr>
          <w:caps w:val="false"/>
          <w:smallCaps w:val="false"/>
        </w:rPr>
        <w:t> </w:t>
      </w:r>
    </w:p>
    <w:tbl>
      <w:tblPr>
        <w:tblW w:w="5059" w:type="dxa"/>
        <w:jc w:val="left"/>
        <w:tblInd w:w="0" w:type="dxa"/>
        <w:tblLayout w:type="fixed"/>
        <w:tblCellMar>
          <w:top w:w="0" w:type="dxa"/>
          <w:left w:w="0" w:type="dxa"/>
          <w:bottom w:w="0" w:type="dxa"/>
          <w:right w:w="0" w:type="dxa"/>
        </w:tblCellMar>
      </w:tblPr>
      <w:tblGrid>
        <w:gridCol w:w="2090"/>
        <w:gridCol w:w="60"/>
        <w:gridCol w:w="140"/>
        <w:gridCol w:w="1100"/>
        <w:gridCol w:w="60"/>
        <w:gridCol w:w="60"/>
        <w:gridCol w:w="165"/>
        <w:gridCol w:w="1309"/>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5,415,127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10,276,952</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6,809,431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FFFFFF" w:val="clear"/>
            <w:tcMar>
              <w:bottom w:w="28" w:type="dxa"/>
            </w:tcMar>
            <w:vAlign w:val="center"/>
          </w:tcPr>
          <w:p>
            <w:pPr>
              <w:pStyle w:val="TableContents"/>
              <w:bidi w:val="0"/>
              <w:spacing w:before="0" w:after="283"/>
              <w:jc w:val="right"/>
              <w:rPr/>
            </w:pPr>
            <w:r>
              <w:rPr/>
              <w:t>7,505,321</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12,224,558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pPr>
            <w:r>
              <w:rPr/>
              <w:t>17,782,273</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9,753,025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309" w:type="dxa"/>
            <w:tcBorders/>
            <w:shd w:fill="FFFFFF" w:val="clear"/>
            <w:vAlign w:val="center"/>
          </w:tcPr>
          <w:p>
            <w:pPr>
              <w:pStyle w:val="TableContents"/>
              <w:bidi w:val="0"/>
              <w:spacing w:before="0" w:after="283"/>
              <w:jc w:val="right"/>
              <w:rPr/>
            </w:pPr>
            <w:r>
              <w:rPr/>
              <w:t>9,266,770</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2,221,084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2,719,413</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11,974,109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11,986,183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1190"/>
        <w:gridCol w:w="60"/>
        <w:gridCol w:w="145"/>
        <w:gridCol w:w="1015"/>
        <w:gridCol w:w="60"/>
        <w:gridCol w:w="60"/>
        <w:gridCol w:w="145"/>
        <w:gridCol w:w="1015"/>
        <w:gridCol w:w="75"/>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w:t>
              <w:br/>
              <w:t>Months Ended</w:t>
              <w:br/>
              <w:t>June 30,</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3,786,311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4,513,856</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5" w:type="dxa"/>
            <w:tcBorders/>
            <w:shd w:fill="FFFFFF" w:val="clear"/>
            <w:vAlign w:val="center"/>
          </w:tcPr>
          <w:p>
            <w:pPr>
              <w:pStyle w:val="TableContents"/>
              <w:bidi w:val="0"/>
              <w:spacing w:before="0" w:after="283"/>
              <w:jc w:val="right"/>
              <w:rPr/>
            </w:pPr>
            <w:r>
              <w:rPr/>
              <w:t>51,322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5" w:type="dxa"/>
            <w:tcBorders/>
            <w:shd w:fill="FFFFFF" w:val="clear"/>
            <w:vAlign w:val="center"/>
          </w:tcPr>
          <w:p>
            <w:pPr>
              <w:pStyle w:val="TableContents"/>
              <w:bidi w:val="0"/>
              <w:spacing w:before="0" w:after="283"/>
              <w:jc w:val="right"/>
              <w:rPr/>
            </w:pPr>
            <w:r>
              <w:rPr/>
              <w:t>369,178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and pursuant to the rules and regulations of the Securities Exchange Commission and have been consistently applied. In the opinion of management, all adjustments (consisting of normal recurring accruals) considered necessary for a fair presentation have been included. These unaudited condensed consolidated financial statements should be read in conjunction with the audited consolidated financial statements and notes thereto for the fiscal years ended December 31, 2025, 2024 and 2023. Operating results for the six-month period ended June 30,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financial statements of the Company and its subsidiaries and the VIEs. All intercompany balances and transactions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Uses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 and expenses during the reporting period. These estimates are based on information as of the date of the unaudited condensed consolidated financial statements. Significant estimates required to be made by management include, but are not limited to, the assessment of the current expected credit losses for receivables and long-term debts investments, the recoverability and impairment of long-lived assets, realization of deferred tax assets and revenue recognition.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currency on hand and deposits held by banks that can be added or withdrawn without limitation. The Company maintains a significant amount of its bank accounts in the PRC. The Company considers all highly liquid investment instruments with an original maturity of three months or less from the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are recognized and carried at original invoiced amount less an estimated allowance for credit losses, as necessary. Accounts are written off against the allowance after efforts at collection prove unsuccessful. As of June 30, 2026 and December 31, 2025, the allowance for credit losses were $93,048 and $nil,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investments are measured at amortized cost in accordance with applicable accounting guidance. The Company evaluates these investments for expected credit losses in accordance with ASC Topic 326 and records an allowance for credit losses based on lifetime expected losses, considering historical experience, current conditions, and reasonable and supportable forecasts. As of June 30, 2026, the Company’s long-term debt investments were concentrated with a limited number of counterparties. The Company monitors the creditworthiness of these counterparties on an ongoing basis and updates its estimates as necessary. Management assessed the expected credit losses associated with these investments, taking into account the financial condition of the counterparties, contractual terms and repayment history. While the Company has not experienced any defaults to date and expects to realize these investments in accordance with their contractual terms, the concentration of these investments and reliance on counterparty performance and guarantees may expose the Company to credit and liquidity risks. Based on management’s assessment, no material allowance for credit losses was recorded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long-term debt investments is recognized over the contractual term of the investment based on the contractual interest or return rate and is presented as investment income in the unaudited condensed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long-term debt investments balance of $54,877,527 and $53,138,801, including accrued investment income of $1,921,197 and $620,384,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2016-13 “Financial Instruments – Credit Losses (Topic 326), Measurement of Credit Losses on Financial Instruments,” which replaces the incurred loss methodology with a current expected loss methodology that is referred to as the current expected credit loss (“CECL”)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 receivables and other receivables included in prepaid expenses and other current assets on the unaudited condensed consolidated balance sheets are within the scope of ASC Topic 326. The Company makes estimates of expected credit and collectability trends for the allowance for credit losses based upon assessment of various factors, including historical experience, the age of the accounts receivable and other receivables balances, credit-worthiness of the customers and other debtors, current economic conditions, reasonable and supportable forecasts of future economic conditions, and other factors that may affect its ability to collect from the customers and other debtors. The Company also provides specific provisions for allowance when facts and circumstances indicate that the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326 is also applicable to short-term and long-term loans to third parties. Management estimates the allowance for credit losses on loans not sharing similar risk characteristics on an individual basis. The key factors considered when determining the above allowances for credit losses include estimated loan collection schedule, discount rate, and assets and financial performance of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expected credit losses are recorded as allowance for credit losses on the unaudited condensed consolidated statements of operations and comprehensive income (loss). After all attempts to collect a receivable have failed, the receivable is written off against the allowance. In the event the Company recovers amounts previously reserved for, the Company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Lessee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No. 842, Leases (“Topic 842”). The Company leases office spaces, bakery store facilities, employee dormitories, and a vehicle, which are classified as operating leases in accordance with Topic 842. Under Topic 842, lessees are required to recognize the following for all leases (with the exception of short-term leases, usually with initial term of 12 months or less) on the commencement date: (i) lease liability, which is a lessee’s obligation to make lease payments arising from a lease, measured on a discounted basis; and (ii) right-of-use (“ROU”) asset, which is an asset that represents the lessee’s right to use, or control the use of, a specified asset for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ROU asset is recognized initially at cost, which primarily comprises the initial amount of the lease liability, plus any initial direct costs incurred, consisting mainly of brokerage commissions, less any lease incentives received. All ROU assets are reviewed for impairment annually. There was no impairment for ROU lease assets as of June 30, 2026 and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large volume of anticipated lease concessions to be granted related to the effects of the COVID-19 pandemic, and the resultant expected cost and complexity of applying the lease modification requirements in Topic 842, the FASB issued Staff Q&amp;A—Topic 842 and Topic 840: Accounting for Lease Concessions Related to the Effects of the COVID-19 Pandemic in April 2020 as interpretive guidance to provide clarity in response to the crisis. The FASB staff indicated that it would be acceptable for entities to make an election to account for lease concessions related to the effects of the COVID-19 pandemic consistent with how they would be accounted for as though enforceable rights and obligations for those concessions existed in the original contract. Consequently, for such lease concessions, an entity will not need to reassess each existing contract to determine whether enforceable rights and obligations for concessions exist and an entity can elect to apply or not to apply the lease modification guidance in Topic 842 to those contracts. The election is available for concessions related to the effects of the COVID-19 pandemic that result in the total payments required by the modified contract being substantially the same as or less than total payments required by the original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COVID-19 pandemic, the Company renegotiated the leases for some of its PRC stores and New York stores. Based on the nature of the agreements reached with the landlords, the Company has accounted for rent concessions as if they were part of the enforceable rights and obligations of the existing lease contracts and did not account for the concessions as lease modifications. As of the date of this report, the Company has received a total of lease concessions amounting to $1,419,132 since fiscal year 2020, and among which, $153,844 and $3,770 was received during the six months ended June 30, 2026 and 2025, respectively. The Company accounted for the concession as negative variable lease payments with a corresponding reduction in the lease liability. The Company has continued to recognize lease expenses on a straight-line basis for its leases over the related lease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Lessor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from leasing arrangements is accounted for in accordance with ASC 842, Leases. Rental income is recognized on a straight-line basis over the lease term and is presented as other income in the unaudited condensed consolidated statements of operations and comprehensive income (loss), as such leasing activities are not part of the Company’s primary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of the Company consist of ingredient materials, finished goods, packaging materials, and other materials. Inventories are stated at the lower of cost or net realizable value, on a weighted average basis. Costs include the cost of ingredient materials, direct labor, and related production overhead. Any excess of the cost over the net realizable value of each item of inventories is recognized as a provision for diminution in the value of inventories. Net realizable value is the estimated selling price in the normal course of business less any costs to complete and sell products. The Company periodically evaluates inventories for their net realizable value adjustments and reduces the carrying value of those inventories that are obsolete or in excess of the forecasted usage to their estimated net realizable value based on various factors including aging and expiration dates, as applicable, taking into consideration historical and expected future product sales. For the six months ended June 30, 2026 and 2025, the Company did not record a material inventory reserve as any write-downs for slow-moving, obsolete, or expired inventory were not significant.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of property and equipment are provided using the straight-line method over their expected useful lives, as follows:</w:t>
      </w:r>
    </w:p>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765"/>
        <w:gridCol w:w="60"/>
        <w:gridCol w:w="2810"/>
      </w:tblGrid>
      <w:tr>
        <w:trPr/>
        <w:tc>
          <w:tcPr>
            <w:tcW w:w="27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8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27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Commercial property (hotel unit) </w:t>
            </w:r>
          </w:p>
        </w:tc>
        <w:tc>
          <w:tcPr>
            <w:tcW w:w="6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27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Bakery production equipment</w:t>
            </w:r>
          </w:p>
        </w:tc>
        <w:tc>
          <w:tcPr>
            <w:tcW w:w="60" w:type="dxa"/>
            <w:tcBorders/>
            <w:shd w:fill="FFFFFF" w:val="clear"/>
            <w:vAlign w:val="center"/>
          </w:tcPr>
          <w:p>
            <w:pPr>
              <w:pStyle w:val="TableContents"/>
              <w:bidi w:val="0"/>
              <w:spacing w:before="0" w:after="283"/>
              <w:jc w:val="left"/>
              <w:rPr/>
            </w:pPr>
            <w:r>
              <w:rPr/>
              <w:t> </w:t>
            </w:r>
          </w:p>
        </w:tc>
        <w:tc>
          <w:tcPr>
            <w:tcW w:w="28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 years</w:t>
            </w:r>
          </w:p>
        </w:tc>
      </w:tr>
      <w:tr>
        <w:trPr/>
        <w:tc>
          <w:tcPr>
            <w:tcW w:w="27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 years</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Automobiles</w:t>
            </w:r>
          </w:p>
        </w:tc>
        <w:tc>
          <w:tcPr>
            <w:tcW w:w="60" w:type="dxa"/>
            <w:tcBorders/>
            <w:shd w:fill="FFFFFF" w:val="clear"/>
            <w:vAlign w:val="center"/>
          </w:tcPr>
          <w:p>
            <w:pPr>
              <w:pStyle w:val="TableContents"/>
              <w:bidi w:val="0"/>
              <w:spacing w:before="0" w:after="283"/>
              <w:jc w:val="left"/>
              <w:rPr/>
            </w:pPr>
            <w:r>
              <w:rPr/>
              <w:t> </w:t>
            </w:r>
          </w:p>
        </w:tc>
        <w:tc>
          <w:tcPr>
            <w:tcW w:w="28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r>
        <w:trPr/>
        <w:tc>
          <w:tcPr>
            <w:tcW w:w="27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Leasehold improvement</w:t>
            </w:r>
          </w:p>
        </w:tc>
        <w:tc>
          <w:tcPr>
            <w:tcW w:w="60" w:type="dxa"/>
            <w:tcBorders/>
            <w:shd w:fill="CCEEFF" w:val="clear"/>
            <w:vAlign w:val="center"/>
          </w:tcPr>
          <w:p>
            <w:pPr>
              <w:pStyle w:val="TableContents"/>
              <w:bidi w:val="0"/>
              <w:spacing w:before="0" w:after="283"/>
              <w:jc w:val="left"/>
              <w:rPr/>
            </w:pPr>
            <w:r>
              <w:rPr/>
              <w:t> </w:t>
            </w:r>
          </w:p>
        </w:tc>
        <w:tc>
          <w:tcPr>
            <w:tcW w:w="28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Lesser of useful life and lease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 commercial property unit located within a hotel building. The asset is accounted for as property and equipment under U.S. GAAP. The purchase price was not separately allocated between land use rights and building components as such allocation is not practicable. Accordingly, the asset is accounted for as a single property and equipment asset and depreciated over its estimated useful life. The Company evaluates the classification of real estate assets under U.S. GAAP based on their intended use and the nature of the Company’s involvement. Although certain properties generate rental income, such assets are classified as property and equipment when they are held for use in the Company’s operations and the Company is actively involved in managing and operating the property. Rental activities are considered part of the Company’s broader business operations rather than passive investment activities. Management determined the useful life of the commercial property unit based on the expected period over which the asset will generate economic benefits, taking into consideration the physical condition and intended use of the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repair and maintenance, which do not materially extend the useful lives of the assets, are charged to expenses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condensed consolidated statements of operations and comprehensive income (loss) in other income or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consist primarily of purchased software. Intangible assets are stated at cost less accumulated amortization, which are amortized using the straight-line method with the estimated useful lives of 8 years. Management determines the useful life based on the expected period over which the software will provide economic benefits, taking into consideration the expected usage of the systems, technological obsolescence, and the Company’s historical experience with similar software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with finite lives, including property and equipment, ROU assets, and intangible assets, are reviewed for impairment in accordance with ASC 360 whenever events or changes in circumstances indicate that the carrying amount of an asset or asset group may not be recoverable. ROU assets are evaluated for impairment under ASC 360 as required by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assets to be held and used, recoverability is assessed by comparing the carrying amount of an asset or asset group to the undiscounted future cash flows expected to be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impairment at the lowest level of identifiable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its retail operations, which are centrally managed, individual outlets are operationally interdependent and do not generate largely independent cash flows. Accordingly, impairment is assessed at the lowest level for which identifiable cash flows are largely independent of the cash flows of other assets and 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assets that generate independently identifiable cash flows, such as the Company’s commercial property, impairment is assessed separately.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carrying amount exceeds the undiscounted future cash flows, an impairment loss is recognized based on the excess of the carrying amount over fair value. During the six months ended June 30, 2026, the Company closed certain retail locations following sustained underperformance. The Company considered these closures and the operating performance of the affected locations as part of its assessment of impairment indicators and recoverability of the related long-lived assets. No impairment losses were recognized for the six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606, </w:t>
      </w:r>
      <w:r>
        <w:rPr>
          <w:rFonts w:ascii="Times New Roman;Times;Serif" w:hAnsi="Times New Roman;Times;Serif"/>
          <w:b w:val="false"/>
          <w:i/>
          <w:caps w:val="false"/>
          <w:smallCaps w:val="false"/>
          <w:sz w:val="20"/>
        </w:rPr>
        <w:t>Revenue from Contracts with Customers </w:t>
      </w:r>
      <w:r>
        <w:rPr>
          <w:rFonts w:ascii="Times New Roman;Times;Serif" w:hAnsi="Times New Roman;Times;Serif"/>
          <w:b w:val="false"/>
          <w:i w:val="false"/>
          <w:caps w:val="false"/>
          <w:smallCaps w:val="false"/>
          <w:sz w:val="20"/>
        </w:rPr>
        <w:t>(“ASC 606”), for revenue recognition. ASC 606 establishes principles for reporting information about the nature, amount, timing, and uncertainty of revenue and cash flows arising from an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through its bakery/café stores as well as through online sales. The Company recognizes revenue from bakery/café sales upon delivery of the related food and other products to the customer and fulfillment of all performance obligations. Revenue is recognized net of any discounts, sales incentives, sales taxes, and value added taxes that are collected from customers and remitted to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PRC Stores, the Company sells membership cards that do not have an expiration date and from which the Company does not deduct non-usage fees from outstanding card balances. Membership cards are reloadable and redeemable at any of the Company’s store locations. Amounts loaded into these cards are initially recorded as deferred revenue. When membership cards are redeemed at stores, the Company recognizes revenue and reduces the deferred revenue. While the Company continues to honor all membership cards presented for payments, management determines the likelihood of redemption to be remote for certain cards with long periods of inactivity (“breakage”), which is five years after the last usage, based upon the Company’s historical redemption patterns. Membership card breakage is recorded as revenue in the unaudited condensed consolidated statements of operations and comprehensive income (loss). Membership card breakage was immaterial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PRC Stores, the Company maintains a customer loyalty program in which customers earn free cash vouchers when purchasing or reloading membership cards at certain amount. These cash vouchers typically do not expire, except for certain vouchers given out at special occasions, which usually state an expiration date and can only be exchanged for certain seasonal products or specialty cakes. The Company establishes corresponding liabilities in deferred revenue for the membership cards and the free cash vouchers upon issuance. The Company allocates the consideration received proportionately between the membership cards and cash vouchers based on their face values. Revenue is recognized at the allocated amount upon redemption of membership cards and cash vouchers, at which point, the Company delivers products to customers and reduces the deferred revenue. Unredeemed cash vouchers will be recognized as revenue upon their expiration dates, if any, or five years after their issuance if there are no stated expiration dates, when management determines the likelihood of redemption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 and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balances typically arise when a difference in timing between the transfer of control to the customer and receipt of consideration occurs. The Company did not have contract assets as of June 30, 2026 and December 31, 2025. The Company’s contract liabilities, which are reflected in its unaudited condensed consolidated balance sheets as deferred revenue of $8,796,657 and $7,670,555 as of June 30, 2026 and December 31, 2025, respectively, consist primarily of customer payments for the membership cards and the fair value of the cash vouchers under the Company’s customer loyalty programs. These amounts represent the Company’s unsatisfied performance obligations as of the balance sheet dates. The amount of revenue recognized in the six months ended June 30, 2026 and 2025 that was included in the opening deferred revenue was $2,442,947 and $2,755,067, respectively. As of June 30, 2026, the aggregate amount of unredeemed membership cards and cash vouchers was $8,796,657. The Company will recognize revenue when customers redeem the membership cards or cash vouchers in store purchases. Based on the Company’s historical experience, a significant portion of the redemption is expected to occur during the first two years after June 30, 2026 and the remaining between the third and fifth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 by geographic areas, as the Company believes it best depicts how the nature, amount, timing, and uncertainty of the revenue and cash flows are affected by economic factors. The Company’s disaggregation of revenue for the six months ended June 30, 2026 and 2025 is disclosed in Note 15 of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inputs to the valuation methodology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fair value of the Company’s financial instruments, including cash and cash equivalents, accounts receivable, other current assets, short-term bank loans, accounts payable, due to a related party, taxes payable, current portion of long-term bank loans, current portion of operating lease liabilities, current and other current liabilities, approximates the fair value of the respective assets and liabilities as of June 30, 2026 and December 31, 2025 based upon the short-term nature of the assets and liabilities. The fair value of long-term debt investment and long-term bank loans, as well as non-current portion of operating lease liabilities approximates their recorded values as their stated interest rates approximate the rates currently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Company’s PRC subsidiaries and the UFG entities is the Chinese Yuan (“RMB”) and the functional currency of the Company’s U.S. subsidiaries is the U.S. Dollars (“US$”). RMB amounts in the Company’s unaudited condensed consolidated financial statements have been translated into the reporting currency US$. Assets and liabilities of the Company are translated at the exchange rate at each reporting period end date. Equity is translated at historical rates. Income and expense accounts are translated at the average rate of exchange during the reporting period. The resulting translation adjustments are reported under other comprehensive income. Because cash flows are translated based on the average translation rate, amounts related to assets and liabilities reported on the statement of cash flows will not necessarily agree with changes in the corresponding balances on the balance sheets. Gains and losses resulting from the translations of foreign currency transactions and balances are reflected in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is not freely convertible into foreign currency and all foreign exchange transactions must take place through authorized institutions. No representation is made that the RMB amounts could have been, or could be, converted into US$ at the rates used in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outlines the currency exchange rates that were used in creating the unaudited condensed consolidated financial statements in this report:</w:t>
      </w:r>
    </w:p>
    <w:p>
      <w:pPr>
        <w:pStyle w:val="TextBody"/>
        <w:bidi w:val="0"/>
        <w:spacing w:before="0" w:after="0"/>
        <w:ind w:left="0" w:right="0" w:hanging="0"/>
        <w:jc w:val="both"/>
        <w:rPr>
          <w:caps w:val="false"/>
          <w:smallCaps w:val="false"/>
        </w:rPr>
      </w:pPr>
      <w:r>
        <w:rPr>
          <w:caps w:val="false"/>
          <w:smallCaps w:val="false"/>
        </w:rPr>
        <w:t> </w:t>
      </w:r>
    </w:p>
    <w:tbl>
      <w:tblPr>
        <w:tblW w:w="7250" w:type="dxa"/>
        <w:jc w:val="left"/>
        <w:tblInd w:w="0" w:type="dxa"/>
        <w:tblLayout w:type="fixed"/>
        <w:tblCellMar>
          <w:top w:w="0" w:type="dxa"/>
          <w:left w:w="0" w:type="dxa"/>
          <w:bottom w:w="0" w:type="dxa"/>
          <w:right w:w="0" w:type="dxa"/>
        </w:tblCellMar>
      </w:tblPr>
      <w:tblGrid>
        <w:gridCol w:w="2090"/>
        <w:gridCol w:w="60"/>
        <w:gridCol w:w="60"/>
        <w:gridCol w:w="1595"/>
        <w:gridCol w:w="60"/>
        <w:gridCol w:w="60"/>
        <w:gridCol w:w="1595"/>
        <w:gridCol w:w="60"/>
        <w:gridCol w:w="1595"/>
        <w:gridCol w:w="75"/>
      </w:tblGrid>
      <w:tr>
        <w:trPr/>
        <w:tc>
          <w:tcPr>
            <w:tcW w:w="20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0" w:type="dxa"/>
            <w:gridSpan w:val="4"/>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Six Months Ended</w:t>
              <w:br/>
              <w:t>June 30,</w:t>
            </w:r>
          </w:p>
        </w:tc>
        <w:tc>
          <w:tcPr>
            <w:tcW w:w="60" w:type="dxa"/>
            <w:tcBorders/>
            <w:shd w:fill="FFFFFF" w:val="clear"/>
            <w:vAlign w:val="center"/>
          </w:tcPr>
          <w:p>
            <w:pPr>
              <w:pStyle w:val="TableContents"/>
              <w:bidi w:val="0"/>
              <w:spacing w:before="0" w:after="283"/>
              <w:jc w:val="center"/>
              <w:rPr/>
            </w:pPr>
            <w:r>
              <w:rPr/>
              <w:t> </w:t>
            </w:r>
          </w:p>
        </w:tc>
        <w:tc>
          <w:tcPr>
            <w:tcW w:w="159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Year Ended</w:t>
              <w:br/>
              <w:t>December 31,</w:t>
            </w:r>
          </w:p>
        </w:tc>
        <w:tc>
          <w:tcPr>
            <w:tcW w:w="75" w:type="dxa"/>
            <w:tcBorders/>
            <w:shd w:fill="FFFFFF" w:val="clear"/>
            <w:vAlign w:val="center"/>
          </w:tcPr>
          <w:p>
            <w:pPr>
              <w:pStyle w:val="TableContents"/>
              <w:bidi w:val="0"/>
              <w:spacing w:before="0" w:after="283"/>
              <w:jc w:val="center"/>
              <w:rPr/>
            </w:pPr>
            <w:r>
              <w:rPr/>
              <w:t> </w:t>
            </w:r>
          </w:p>
        </w:tc>
      </w:tr>
      <w:tr>
        <w:trPr/>
        <w:tc>
          <w:tcPr>
            <w:tcW w:w="20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center"/>
              <w:rPr/>
            </w:pPr>
            <w:r>
              <w:rPr/>
              <w:t> </w:t>
            </w:r>
          </w:p>
        </w:tc>
        <w:tc>
          <w:tcPr>
            <w:tcW w:w="159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shd w:fill="FFFFFF" w:val="clear"/>
            <w:vAlign w:val="center"/>
          </w:tcPr>
          <w:p>
            <w:pPr>
              <w:pStyle w:val="TableContents"/>
              <w:bidi w:val="0"/>
              <w:spacing w:before="0" w:after="283"/>
              <w:jc w:val="center"/>
              <w:rPr/>
            </w:pPr>
            <w:r>
              <w:rPr/>
              <w:t> </w:t>
            </w:r>
          </w:p>
        </w:tc>
      </w:tr>
      <w:tr>
        <w:trPr/>
        <w:tc>
          <w:tcPr>
            <w:tcW w:w="20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Period/Year-end spot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US$1=RMB6.7925</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US$1=RMB7.1672</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US$1=RMB6.9956</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US$1=RMB6.8661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US$1=RMB7.2524</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US$1=RMB7.1876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penalties or interest relating to income taxes were incurred during the six months ended June 30, 2026 and 2025. The Company does not believe there was any uncertain tax provision as of June 30, 2026 and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subsidiary in China is subject to the income tax laws of the PRC. The Company’s operating subsidiaries in the United States are subject to the tax law of the United States. As of June 30, 2026, for the tax years ended December 31, 2021 through December 31, 2025, the Company’s PRC subsidiaries remained open for statutory examination by PRC tax authorities, and for the tax years ended December 31, 2023 through December 31, 2025, the Company’s U.S. subsidiaries remained open for statutory examination by the U.S.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added tax (“VAT”)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Xinjiang United Family and its branch offices are general tax payers. The applicable VAT rate is 13% based on the Chinese tax law. VAT is reported as a deduction to revenue when incurred. Entities that are VAT general taxpayers are allowed to offset qualified input VAT paid to suppliers against their output VAT liabilities. The UFG entities were formed as individually-owned businesses, which are generally subject to a lower VAT rate of 3% and the local PRC tax authority has the jurisdiction to assess and determine their VAT obligation or exemption on a case-by-case basis. From January 1, 2023 to December 31, 2027, based on the new tax regulation, individually-owned businesses whose monthly deemed Taxable Net Income (“TNI”) is less than RMB100,000 are exempted from paying VAT. All but three of the UFG entities are currently exempted from paying VAT, since the deemed TNI of each of these UFG entities is currently less than RMB100,000 for the six months ended June 30, 2026. If customers need to obtain a special VAT invoice, the UFG entities that are exempted from paying VAT would apply to the local tax authority to issue the special VAT invoice on their behalf, with the tax authority levying VAT at a rate of 1%. Their VAT eligibility is subject to periodical reassessment, and they may lose or regain the exemption status as determined by the tax authorities on a case-by-case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include entities and individuals that have the ability to control or exercise significant influence over the Company, including the Company’s controlling shareholder and entities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parties are carried out in the normal course of business and are measured at the amounts agreed between the parties. The Company discloses related party relationships, transactions, and outstanding balances in accordance with applicable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involve guarantees or financial support arrangements from related parties. The Company evaluates such arrangements in accordance with applicable accounting standards and discloses them where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480</w:t>
      </w:r>
      <w:r>
        <w:rPr>
          <w:rFonts w:ascii="Times New Roman;Times;Serif" w:hAnsi="Times New Roman;Times;Serif"/>
          <w:b w:val="false"/>
          <w:i/>
          <w:caps w:val="false"/>
          <w:smallCaps w:val="false"/>
          <w:sz w:val="20"/>
        </w:rPr>
        <w:t>, “Distinguishing Liabilities from Equity”</w:t>
      </w:r>
      <w:r>
        <w:rPr>
          <w:rFonts w:ascii="Times New Roman;Times;Serif" w:hAnsi="Times New Roman;Times;Serif"/>
          <w:b w:val="false"/>
          <w:i w:val="false"/>
          <w:caps w:val="false"/>
          <w:smallCaps w:val="false"/>
          <w:sz w:val="20"/>
        </w:rPr>
        <w:t>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interim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warrants issued meet the criteria for equity classification under ASC 815, therefore, the warrants are classified as equity as of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(“EPS”) in accordance with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260”). ASC 260 requires companies with complex capital structures to present basic and diluted EPS. Basic EPS is measured as net income (loss)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As of June 30, 2026 and December 31, 2025, there were no dilutive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consists of two components, net income (loss) and other comprehensive gain. The foreign currency translation gain resulting from the translation of the financial statements expressed in RMB to US$ is reported in other comprehensive gain in the unaudited condensed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this ASU commencing January 1, 2024 retrospectively to all periods presented in the unaudited condensed consolidated financial statement and the adoption of the ASU does not have a material effect on its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measure of segment profit or loss reviewed by the CODM and the significant segment expenses regularly provided to the CODM, which are disclosed in the accompanying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in determining its operating segments. The management approach considers the internal reporting used by the Company’s CODM. The Company’s CODM has been identified as the Chief Executive Officer (“CEO”) who reviews the financial information of separate operating segments when making decisions about allocating resources and assessing performance of the Company. The CODM evaluates segment performance and allocates resources primarily based on net income (loss). Significant segment expenses that are regularly provided to the CODM are included in the measure of segment profit or loss and are disclosed in the segment reporting note. Management, including the CODM, reviews operation results by locations. Based on management’s assessment, the Company has determined that it has two reportable segments: China and the United States. Other operations are not material and are included within the United States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Political and economic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Company are located in the PRC and the United States. Accordingly, the Company’s business, financial condition, and results of operations may be influenced by political, economic, and legal environments in the PRC and the United States, as well as by the general state of the PRC and United States economy. The Company’s results may be adversely affected by changes in the political, regulatory, and social conditions in the PRC and the United States. Although the Company has not experienced losses from these situations and believes that it is in compliance with existing laws and regulations including its organization and structure disclosed in Note 1, such experience may not be indicative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Foreign currency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revenue and expense transactions are denominated in RMB and most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$19,101,065 and $8,453,345 of the Company’s cash was on deposit at financial institutions in the PRC. On May 1, 2015, China’s new Deposit Insurance Regulation came into effect, pursuant to which banking financial institutions, such as commercial banks, established in China are required to purchase deposit insurance for deposits in RMB and in foreign currency placed with them. This Deposit Insurance Regulation would not be effective in providing complete protection for the Company’s accounts in the PRC, as its aggregate deposits are much higher than the compensation limit. As of June 30, 2026, a significant balance of cash was on deposit with four banks, and total unprotected cash amounted to approximately $18.6 million as of June 30, 2026. However, the Company has not experienced any losses in such accounts and believes that the risk of failure of any of these PRC banks is remote.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$844,446 and $85,782 of the Company’s cash was on deposit at financial institutions in the U.S. which were insured by the Federal Deposit Insurance Corporation subject to certain limitations. The Company has not experienced any losses in such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long-term debt investments of $54,877,527 and $53,138,801, respectively. These investments are measured at amortized cost. The Company evaluates these investments for expected credit losses in accordance with ASC 326, Financial Instruments – Credit Losses, and recognizes an allowance for credit losses based on lifetime expected losses, considering historical experience, current conditions, and reasonable and supportable forecasts. As of June 30, 2026 and December 31, 2025, no material allowance for credit losses was recorded.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risk primarily from its long-term debt investments and accounts receivable. As of June 30, 2026, a significant portion of the Company’s long-term debt investments is concentrated in a limited number of counterparties. The Company manages this risk by performing credit evaluations and monitoring counterparty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Company’s substantial assets were located in the PRC and the U.S. and the Company’s substantial revenue was derived from its subsidiaries and the UFG entities located in the PRC and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exposed to credit risk. The risk is mitigated by the Company’s assessment of its customers’ creditworthiness and its ongoing monitoring of outstanding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Company’s cash balance was concentrated in two bank accounts, representing 73.8% and 12.5% of total bank balances, respectively. As of December 31, 2025, the Company’s cash balance was concentrated in two bank accounts, representing 64.7% and 33.5% of total bank balances, respectively. The Company has not experienced any losses in such accounts and believes that the risk of failure of any of these PRC banks is remote.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single customer accounted for more than 10% of the Company’s revenue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no customer accounted for more than 10% of the Company’s total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one supplier accounted for 10.9% of the Company’s total purchases. For the six months ended June 30, 2025, one supplier accounted for 14.9% of the Company’s total purchases.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one supplier accounted for 11.3% of the Company’s total accounts payable balance. As of December 31, 2025, one supplier accounted for 10.6% of the Company’s total accounts payable balance.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 - 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Company adopted this guidance effectively January 1, 2026 and the adoption of this ASU did not have a material impact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(Topic 22): Expense Disaggregation Disclosures”. This ASU requires entities to 1. disclose amounts of (a) purchase of inventory, (b) employee compensation, (c) depreciation, (d) intangible asset amortization, and, (e) depreciation, depletion, and amortization recognized as part of oil-and gas-producing activities, 2. include certain amounts that are already required to be disclosed under current Generally Accepted Accounting Principles in the same disclosures as other disaggregation requirements, 3. 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plans to adopt this guidance effective January 1, 2027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Accounting Acquirer in a Business Combination Involving a Variable Interest Entity”. This ASU clarifies that when a business that is a VIE is acquired primarily with equity interests, the determination of the accounting acquirer should follow ASC 805 rather than defaulting to the primary beneficiary under ASC 810. The standard is effective for fiscal years beginning after December 15, 2026, including interim periods within those fiscal years. Early adoption is permitted. The Company plans to adopt this guidance effective January 1, 2027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The Company plans to adopt this guidance effective January 1, 2028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 there are no new recently issued accounting standards that are expected to have a material impact on the Company’s unaudited condensed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primarily include balance generated from selling bakery products to local corporate customers, billed but has not been collected as of the balance sheet dates. Accounts receivable also include amounts due from third-party online delivery and e-commerce platforms for which settlement is typically received within a short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3080"/>
        <w:gridCol w:w="60"/>
        <w:gridCol w:w="145"/>
        <w:gridCol w:w="1015"/>
        <w:gridCol w:w="95"/>
        <w:gridCol w:w="60"/>
        <w:gridCol w:w="176"/>
        <w:gridCol w:w="1239"/>
        <w:gridCol w:w="75"/>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2,398,069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1,738,052</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(93,048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2,305,021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1,738,052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accounts receivable for expected credit losses in accordance with ASC 326, Financial Instruments - Credit Losses. The Company considers historical loss experience, current conditions, and reasonable and supportable forecasts in estimating expected credit losses. As of June 30, 2026 and December 31, 2025, allowance for credit losses for accounts receivable amounted to $93,048 and $nil,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 movement is as follows:</w:t>
      </w:r>
    </w:p>
    <w:p>
      <w:pPr>
        <w:pStyle w:val="TextBody"/>
        <w:bidi w:val="0"/>
        <w:spacing w:before="0" w:after="0"/>
        <w:ind w:left="0" w:right="0" w:hanging="0"/>
        <w:jc w:val="both"/>
        <w:rPr>
          <w:caps w:val="false"/>
          <w:smallCaps w:val="false"/>
        </w:rPr>
      </w:pPr>
      <w:r>
        <w:rPr>
          <w:caps w:val="false"/>
          <w:smallCaps w:val="false"/>
        </w:rPr>
        <w:t> </w:t>
      </w:r>
    </w:p>
    <w:tbl>
      <w:tblPr>
        <w:tblW w:w="6689" w:type="dxa"/>
        <w:jc w:val="left"/>
        <w:tblInd w:w="0" w:type="dxa"/>
        <w:tblLayout w:type="fixed"/>
        <w:tblCellMar>
          <w:top w:w="0" w:type="dxa"/>
          <w:left w:w="0" w:type="dxa"/>
          <w:bottom w:w="0" w:type="dxa"/>
          <w:right w:w="0" w:type="dxa"/>
        </w:tblCellMar>
      </w:tblPr>
      <w:tblGrid>
        <w:gridCol w:w="3860"/>
        <w:gridCol w:w="60"/>
        <w:gridCol w:w="197"/>
        <w:gridCol w:w="962"/>
        <w:gridCol w:w="60"/>
        <w:gridCol w:w="60"/>
        <w:gridCol w:w="221"/>
        <w:gridCol w:w="1194"/>
        <w:gridCol w:w="75"/>
      </w:tblGrid>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both"/>
              <w:rPr/>
            </w:pPr>
            <w:r>
              <w:rPr/>
              <w:t>Additions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92,051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pPr>
            <w:r>
              <w:rPr/>
              <w:t>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283"/>
              <w:jc w:val="both"/>
              <w:rPr/>
            </w:pPr>
            <w:r>
              <w:rPr/>
              <w:t>Ending balance</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FFFFFF" w:val="clear"/>
            <w:tcMar>
              <w:bottom w:w="28" w:type="dxa"/>
            </w:tcMar>
            <w:vAlign w:val="center"/>
          </w:tcPr>
          <w:p>
            <w:pPr>
              <w:pStyle w:val="TableContents"/>
              <w:bidi w:val="0"/>
              <w:spacing w:before="0" w:after="283"/>
              <w:jc w:val="right"/>
              <w:rPr/>
            </w:pPr>
            <w:r>
              <w:rPr/>
              <w:t>93,048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PREPAID EXPENSES AND OTHER CURRENT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4880"/>
        <w:gridCol w:w="60"/>
        <w:gridCol w:w="145"/>
        <w:gridCol w:w="1015"/>
        <w:gridCol w:w="60"/>
        <w:gridCol w:w="60"/>
        <w:gridCol w:w="210"/>
        <w:gridCol w:w="1205"/>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Prepayments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3,118,900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Advance to suppliers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319,544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297,565</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Prepaid expenses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333,254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370,479</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receivables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318,554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304,743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VAT recoverable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Total 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4,095,842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972,787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primarily represent advance payments under two separate custom software development agreements.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the Company entered into a custom development services agreement for an AI-enabled smart store system with ELEFUN Group Co., Limited (“ELEFUN”). Pursuant to the agreement, ELEFUN shall develop, deploy and deliver a custom AI-enabled smart store system tailored to the Company’s bakery-industry operating scenarios, including modules for AI customer management and precision marketing, AI-enabled in-store service functions, and a centralized data visualization dashboard. The total contract price is $3.0 million. An initial project development fee of $2.0 million was paid in April 2026. As of June 30, 2026, the project remained in the debugging and development phase. Stage acceptance of the virtual system, core functions and related development work product is scheduled to be completed by November 30, 2026. Successful stage acceptance does not constitute final delivery or final acceptance of the project. The full formal system is scheduled for final delivery and final acceptance on or before November 30, 2027. In the event the project fails to satisfy the stage acceptance standards by November 30, 2026 and cannot be remedied following the Company’s reasonable rectification requests, the Company may terminate the agreement by written notice and is entitled to a partial refund of the prepaid balance pursuant to the agreement terms. As of June 30, 2026, the stage acceptance process had not occurred and the contractual condition permitting ELEFUN to retain a portion of the advance had not been triggered. Accordingly, the $2.0 million continued to be recorded as a prepaid expense as of June 30,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2026, the Company entered into a special agreement for the development, delivery and acceptance of the omnichannel livestream commerce system with Snow Leopard HK Limited (“Snow Leopard”). Pursuant to the agreement, Snow Leopard will provide custom development, deployment, testing, training and warranty services for the bakery chain’s dedicated omnichannel livestream commerce system, which covers proprietary online stores, dedicated livestream selling system, integration with domestic and overseas e-commerce platforms, integrated online and offline procurement, sales and inventory synchronization, and a centralized omnichannel data platform. The total contract price is $1.5 million, payable in two installments: an initial payment of $1.1 million following after signing the agreement, and a final payment of $0.4 million payable following successful overall acceptance and complete delivery of the system. The agreement provides for phased acceptance, with final overall acceptance scheduled for November 30, 2026. As of June 30, 2026, the Company had prepaid the initial installment of $1.1 million under this agreement. This prepayment is refundable under the agreement’s certain breach provisions. Consistent with the agreement’s terms, the Company is entitled to terminate the agreement and receive a full refund of the initial prepayment in cases of vendor default, including failure to meet the agreed delivery schedule, failure to meet agreed system standards after two rounds of rectification, or breach of intellectual property and confidentiality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 to suppliers primarily consists of advance payments paid to suppliers for purchases of raw materials for bakery products. Certain prepaid balances include amounts reclassified from accounts payable where payments to suppliers exceeded the outstanding payable balances, resulting in debit balances. These amounts represent advance payments to suppliers for future purchases.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primarily represent prepaid rental expenses, professional fees, and other miscellaneous expenses for the Company’s bakery stores.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are mainly business advances to officers and staff for business travel and sundry expenses. As of June 30, 2026 and December 31, 2025, the balance also included $210,000 receivable due from a third party, as the Company entered into a cooperation agreement with the third party, and granted the third party a license to use the Chanson 23rd Street stores for events from May 1, 2025 to October 31,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certain balances were outstanding beyond their contractual due dates; however, management expects these amounts to be fully collected and no disputes or collection issues have been identified. The Company evaluates other receivables for expected credit losses in accordance with ASC 326, Financial Instruments - Credit Losses. Based on the assessment of historical collection experience, current conditions, and subsequent receipts, no material allowance for credit losses was considered necessary as of June 30, 2026 and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504" w:type="dxa"/>
        <w:jc w:val="left"/>
        <w:tblInd w:w="0" w:type="dxa"/>
        <w:tblLayout w:type="fixed"/>
        <w:tblCellMar>
          <w:top w:w="0" w:type="dxa"/>
          <w:left w:w="0" w:type="dxa"/>
          <w:bottom w:w="0" w:type="dxa"/>
          <w:right w:w="0" w:type="dxa"/>
        </w:tblCellMar>
      </w:tblPr>
      <w:tblGrid>
        <w:gridCol w:w="2675"/>
        <w:gridCol w:w="60"/>
        <w:gridCol w:w="172"/>
        <w:gridCol w:w="987"/>
        <w:gridCol w:w="60"/>
        <w:gridCol w:w="60"/>
        <w:gridCol w:w="210"/>
        <w:gridCol w:w="1205"/>
        <w:gridCol w:w="75"/>
      </w:tblGrid>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Ingredient materials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452,098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538,898</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Package and other materials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150,974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166,207</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139,468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125,492</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FFFFFF" w:val="clear"/>
            <w:tcMar>
              <w:bottom w:w="28" w:type="dxa"/>
            </w:tcMar>
            <w:vAlign w:val="center"/>
          </w:tcPr>
          <w:p>
            <w:pPr>
              <w:pStyle w:val="TableContents"/>
              <w:bidi w:val="0"/>
              <w:spacing w:before="0" w:after="283"/>
              <w:jc w:val="right"/>
              <w:rPr/>
            </w:pPr>
            <w:r>
              <w:rPr/>
              <w:t>742,540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830,597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inventories primarily consist of perishable bakery products with relatively short shelf lives. The Company manages inventory levels through a just-in-time production approach to minimize excess inventory and obsolescence risk. Management assesses net realizable value based on recent sales performance and subsequent sales after the reporting period. As of June 30, 2026 and December 31, 2025, no material inventory write-downs were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spaces, bakery store facilities, employee dormitories and a vehicle under non-cancelable operating leases, with terms ranging from 1 to 15 years. The Company considers those renewal or termination options that are reasonably certain to be exercised in the determination of the lease term and initial measurement of ROU assets and lease liabilities. Lease expenses are recognized on a straight-line basis over the lease term. Leases with initial term of 12 months or less are not recorded on the balance sheet.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discounts lease payments based on an estimate of its incremental borrowing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operating lease related assets and liabilities recorded on the balance sheets.</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3740"/>
        <w:gridCol w:w="60"/>
        <w:gridCol w:w="145"/>
        <w:gridCol w:w="1015"/>
        <w:gridCol w:w="60"/>
        <w:gridCol w:w="60"/>
        <w:gridCol w:w="176"/>
        <w:gridCol w:w="1239"/>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ROU lease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7,475,454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8,297,961</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1,774,537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1,777,697</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5,331,845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6,021,153</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7,106,382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7,798,850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 agreements require lease payments to be made in advance, resulting in prepaid lease balances. These balances represent timing differences between cash payments and straight-line lease expense recognition and are reflected in the measurement of the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discount rates for all of operating leases were as follows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7599" w:type="dxa"/>
        <w:jc w:val="left"/>
        <w:tblInd w:w="0" w:type="dxa"/>
        <w:tblLayout w:type="fixed"/>
        <w:tblCellMar>
          <w:top w:w="0" w:type="dxa"/>
          <w:left w:w="0" w:type="dxa"/>
          <w:bottom w:w="0" w:type="dxa"/>
          <w:right w:w="0" w:type="dxa"/>
        </w:tblCellMar>
      </w:tblPr>
      <w:tblGrid>
        <w:gridCol w:w="4460"/>
        <w:gridCol w:w="60"/>
        <w:gridCol w:w="136"/>
        <w:gridCol w:w="1023"/>
        <w:gridCol w:w="215"/>
        <w:gridCol w:w="60"/>
        <w:gridCol w:w="169"/>
        <w:gridCol w:w="1246"/>
        <w:gridCol w:w="23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Remaining lease term and discount rate:</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5.43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5.58</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Weighted average discount rate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4.85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4.94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new incremental borrowing rate of 3.95% for its lease contracts entered from fiscal year 2022 to the first half of fiscal year 2023 in the PRC. For lease contracts entered from the second half of fiscal year 2023 to fiscal year 2024, the Company used new incremental borrowing rate of 5.00%. For lease contracts entered in the first half of fiscal year 2025, the Company used new incremental borrowing rate of 4.19%. For lease contracts entered in and after the second half of fiscal year 2025, the Company used new incremental borrowing rate of 4.18%. The Company used incremental borrowing rate of 3.75% for its lease contracts entered prior to fiscal year 2024 in the United States. For lease contracts entered in fiscal year 2024, the Company used new incremental borrowing rate of 8.00%. For lease contracts entered in fiscal year 2025, the Company used new incremental borrowing rate of 7.25%.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its incremental borrowing rates based on the lease term, the economic environment in which the lease is denominated, and the Company’s credit risk. As a result, different incremental borrowing rates may be applied to lease contracts entered into at different times and in different jurisdictions to reflect changes in market conditions.</w:t>
            </w:r>
          </w:p>
        </w:tc>
      </w:tr>
    </w:tbl>
    <w:p>
      <w:pPr>
        <w:pStyle w:val="TextBody"/>
        <w:bidi w:val="0"/>
        <w:spacing w:before="0" w:after="0"/>
        <w:ind w:left="400" w:right="0" w:hanging="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and 2025, the Company incurred total operating lease expenses of $1,216,546 and $1,546,606,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by years, of maturities of lease liabilities as of June 30, 2026:</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2975"/>
        <w:gridCol w:w="60"/>
        <w:gridCol w:w="140"/>
        <w:gridCol w:w="980"/>
        <w:gridCol w:w="110"/>
      </w:tblGrid>
      <w:tr>
        <w:trPr/>
        <w:tc>
          <w:tcPr>
            <w:tcW w:w="297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1,016,575</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1,756,189</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1,524,299</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1,233,199</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1,060,601</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1,471,333</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8,062,196</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(955,814</w:t>
            </w:r>
          </w:p>
        </w:tc>
        <w:tc>
          <w:tcPr>
            <w:tcW w:w="110" w:type="dxa"/>
            <w:tcBorders/>
            <w:shd w:fill="FFFFFF" w:val="clear"/>
            <w:vAlign w:val="center"/>
          </w:tcPr>
          <w:p>
            <w:pPr>
              <w:pStyle w:val="TableContents"/>
              <w:bidi w:val="0"/>
              <w:spacing w:before="0" w:after="283"/>
              <w:jc w:val="left"/>
              <w:rPr/>
            </w:pPr>
            <w:r>
              <w:rPr/>
              <w:t>)</w:t>
            </w:r>
          </w:p>
        </w:tc>
      </w:tr>
      <w:tr>
        <w:trPr/>
        <w:tc>
          <w:tcPr>
            <w:tcW w:w="2975" w:type="dxa"/>
            <w:tcBorders/>
            <w:shd w:fill="CCEEFF" w:val="clear"/>
            <w:vAlign w:val="center"/>
          </w:tcPr>
          <w:p>
            <w:pPr>
              <w:pStyle w:val="TableContents"/>
              <w:bidi w:val="0"/>
              <w:spacing w:before="0" w:after="283"/>
              <w:jc w:val="left"/>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7,106,382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3245"/>
        <w:gridCol w:w="60"/>
        <w:gridCol w:w="140"/>
        <w:gridCol w:w="1100"/>
        <w:gridCol w:w="95"/>
        <w:gridCol w:w="60"/>
        <w:gridCol w:w="159"/>
        <w:gridCol w:w="1256"/>
        <w:gridCol w:w="110"/>
      </w:tblGrid>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Commercial property (hotel unit)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1,579,509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1,533,672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Bakery production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1,141,457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1,128,548</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Automobiles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115,084</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Office equipment and furniture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1,289,486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1,201,357</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7,146,817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6,903,484</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11,275,792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10,882,145</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(4,422,123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(3,818,153</w:t>
            </w:r>
          </w:p>
        </w:tc>
        <w:tc>
          <w:tcPr>
            <w:tcW w:w="11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6,853,669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7,063,992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the Company acquired a commercial property unit from its controlling shareholder, Mr. Gang Li, through a debt settlement arrangement. The transaction involved the settlement of amounts due from the controlling shareholder, whereby the property was transferred to the Company in settlement of the outstanding balance.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acquisition cost of the property based on its fair value at the acquisition date, supported by an independent third-party valuation. Management considers the fair value to be a reasonable proxy for the acquisition cost in this transaction. The property is legally owned by the Company and is currently leased to third parties to generate rental income. Consistent with the Company’s accounting policy, management has classified the property as property and equipment as it is held for use in the Company’s operations and the Company is actively involved in managing the property. Management determined the useful life of the property to be 20 years. The Company evaluates long-lived assets for impairment in accordance with ASC 360. As the property generates independently identifiable rental cash flows, it is assessed separately for impairment. Management considered the ongoing rental income and absence of adverse changes in occupancy or usage and concluded that no impairment indicators were present as of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on disposal of property and equipment was $nil and $77,505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were $539,706 and $374,851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904" w:type="dxa"/>
        <w:jc w:val="left"/>
        <w:tblInd w:w="0" w:type="dxa"/>
        <w:tblLayout w:type="fixed"/>
        <w:tblCellMar>
          <w:top w:w="0" w:type="dxa"/>
          <w:left w:w="0" w:type="dxa"/>
          <w:bottom w:w="0" w:type="dxa"/>
          <w:right w:w="0" w:type="dxa"/>
        </w:tblCellMar>
      </w:tblPr>
      <w:tblGrid>
        <w:gridCol w:w="3005"/>
        <w:gridCol w:w="60"/>
        <w:gridCol w:w="172"/>
        <w:gridCol w:w="987"/>
        <w:gridCol w:w="95"/>
        <w:gridCol w:w="60"/>
        <w:gridCol w:w="210"/>
        <w:gridCol w:w="1205"/>
        <w:gridCol w:w="110"/>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290,000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290,000</w:t>
            </w:r>
          </w:p>
        </w:tc>
        <w:tc>
          <w:tcPr>
            <w:tcW w:w="11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FFFFFF" w:val="clear"/>
            <w:tcMar>
              <w:bottom w:w="28" w:type="dxa"/>
            </w:tcMar>
            <w:vAlign w:val="center"/>
          </w:tcPr>
          <w:p>
            <w:pPr>
              <w:pStyle w:val="TableContents"/>
              <w:bidi w:val="0"/>
              <w:spacing w:before="0" w:after="283"/>
              <w:jc w:val="right"/>
              <w:rPr/>
            </w:pPr>
            <w:r>
              <w:rPr/>
              <w:t>(81,875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(63,750</w:t>
            </w:r>
          </w:p>
        </w:tc>
        <w:tc>
          <w:tcPr>
            <w:tcW w:w="110" w:type="dxa"/>
            <w:tcBorders/>
            <w:shd w:fill="FFFFFF" w:val="clear"/>
            <w:vAlign w:val="center"/>
          </w:tcPr>
          <w:p>
            <w:pPr>
              <w:pStyle w:val="TableContents"/>
              <w:bidi w:val="0"/>
              <w:spacing w:before="0" w:after="283"/>
              <w:jc w:val="left"/>
              <w:rPr/>
            </w:pPr>
            <w:r>
              <w:rPr/>
              <w:t>)</w:t>
            </w:r>
          </w:p>
        </w:tc>
      </w:tr>
      <w:tr>
        <w:trPr/>
        <w:tc>
          <w:tcPr>
            <w:tcW w:w="3005" w:type="dxa"/>
            <w:tcBorders/>
            <w:shd w:fill="CCEEFF" w:val="clear"/>
            <w:vAlign w:val="center"/>
          </w:tcPr>
          <w:p>
            <w:pPr>
              <w:pStyle w:val="TableContents"/>
              <w:bidi w:val="0"/>
              <w:spacing w:before="0" w:after="283"/>
              <w:jc w:val="left"/>
              <w:rPr/>
            </w:pPr>
            <w:r>
              <w:rPr/>
              <w:t>Total intangible assets, net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CCEEFF" w:val="clear"/>
            <w:tcMar>
              <w:bottom w:w="28" w:type="dxa"/>
            </w:tcMar>
            <w:vAlign w:val="center"/>
          </w:tcPr>
          <w:p>
            <w:pPr>
              <w:pStyle w:val="TableContents"/>
              <w:bidi w:val="0"/>
              <w:spacing w:before="0" w:after="283"/>
              <w:jc w:val="right"/>
              <w:rPr/>
            </w:pPr>
            <w:r>
              <w:rPr/>
              <w:t>208,125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226,250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assessed whether events or changes in circumstances, including store closures and changes in business operations, indicated that the carrying amount of the intangible assets may not be recoverable. As the software systems are utilized across the Company’s operations and are not dependent on individual store performance, management concluded that such events did not represent impairment indicators. Accordingly, no impairment loss was recognized for the six months ended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expenses were $18,125 and $18,125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attributable to future periods as of June 30, 2026 is as follows:</w:t>
      </w:r>
    </w:p>
    <w:p>
      <w:pPr>
        <w:pStyle w:val="TextBody"/>
        <w:bidi w:val="0"/>
        <w:spacing w:before="0" w:after="0"/>
        <w:ind w:left="0" w:right="0" w:hanging="0"/>
        <w:jc w:val="left"/>
        <w:rPr>
          <w:caps w:val="false"/>
          <w:smallCaps w:val="false"/>
        </w:rPr>
      </w:pPr>
      <w:r>
        <w:rPr>
          <w:caps w:val="false"/>
          <w:smallCaps w:val="false"/>
        </w:rPr>
        <w:t> </w:t>
      </w:r>
    </w:p>
    <w:tbl>
      <w:tblPr>
        <w:tblW w:w="4479" w:type="dxa"/>
        <w:jc w:val="left"/>
        <w:tblInd w:w="0" w:type="dxa"/>
        <w:tblLayout w:type="fixed"/>
        <w:tblCellMar>
          <w:top w:w="0" w:type="dxa"/>
          <w:left w:w="0" w:type="dxa"/>
          <w:bottom w:w="28" w:type="dxa"/>
          <w:right w:w="0" w:type="dxa"/>
        </w:tblCellMar>
      </w:tblPr>
      <w:tblGrid>
        <w:gridCol w:w="3185"/>
        <w:gridCol w:w="60"/>
        <w:gridCol w:w="172"/>
        <w:gridCol w:w="987"/>
        <w:gridCol w:w="75"/>
      </w:tblGrid>
      <w:tr>
        <w:trPr/>
        <w:tc>
          <w:tcPr>
            <w:tcW w:w="3185" w:type="dxa"/>
            <w:tcBorders>
              <w:bottom w:val="single" w:sz="12" w:space="0" w:color="000000"/>
            </w:tcBorders>
            <w:vAlign w:val="center"/>
          </w:tcPr>
          <w:p>
            <w:pPr>
              <w:pStyle w:val="TableContents"/>
              <w:bidi w:val="0"/>
              <w:spacing w:before="0" w:after="283"/>
              <w:jc w:val="left"/>
              <w:rPr>
                <w:b/>
              </w:rPr>
            </w:pPr>
            <w:r>
              <w:rPr>
                <w:b/>
              </w:rPr>
              <w:t>Twelve months ended June 30:</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tcMar>
              <w:bottom w:w="0" w:type="dxa"/>
            </w:tcMar>
            <w:vAlign w:val="center"/>
          </w:tcPr>
          <w:p>
            <w:pPr>
              <w:pStyle w:val="TableContents"/>
              <w:bidi w:val="0"/>
              <w:spacing w:before="0" w:after="283"/>
              <w:jc w:val="center"/>
              <w:rPr/>
            </w:pPr>
            <w:r>
              <w:rPr/>
              <w:t>(Unaudited)</w:t>
            </w:r>
          </w:p>
        </w:tc>
        <w:tc>
          <w:tcPr>
            <w:tcW w:w="75" w:type="dxa"/>
            <w:tcBorders/>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987" w:type="dxa"/>
            <w:tcBorders/>
            <w:shd w:fill="CCEEFF" w:val="clear"/>
            <w:tcMar>
              <w:bottom w:w="0" w:type="dxa"/>
            </w:tcMar>
            <w:vAlign w:val="center"/>
          </w:tcPr>
          <w:p>
            <w:pPr>
              <w:pStyle w:val="TableContents"/>
              <w:bidi w:val="0"/>
              <w:spacing w:before="0" w:after="283"/>
              <w:jc w:val="right"/>
              <w:rPr/>
            </w:pPr>
            <w:r>
              <w:rPr/>
              <w:t>36,250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36,250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36,250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36,250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36,250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987" w:type="dxa"/>
            <w:tcBorders>
              <w:bottom w:val="single" w:sz="12" w:space="0" w:color="000000"/>
            </w:tcBorders>
            <w:shd w:fill="FFFFFF" w:val="clear"/>
            <w:vAlign w:val="center"/>
          </w:tcPr>
          <w:p>
            <w:pPr>
              <w:pStyle w:val="TableContents"/>
              <w:bidi w:val="0"/>
              <w:spacing w:before="0" w:after="283"/>
              <w:jc w:val="right"/>
              <w:rPr/>
            </w:pPr>
            <w:r>
              <w:rPr/>
              <w:t>26,875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pPr>
            <w:r>
              <w:rPr/>
              <w:t>$</w:t>
            </w:r>
          </w:p>
        </w:tc>
        <w:tc>
          <w:tcPr>
            <w:tcW w:w="987" w:type="dxa"/>
            <w:tcBorders>
              <w:bottom w:val="double" w:sz="10" w:space="0" w:color="000000"/>
            </w:tcBorders>
            <w:shd w:fill="CCEEFF" w:val="clear"/>
            <w:vAlign w:val="center"/>
          </w:tcPr>
          <w:p>
            <w:pPr>
              <w:pStyle w:val="TableContents"/>
              <w:bidi w:val="0"/>
              <w:spacing w:before="0" w:after="283"/>
              <w:jc w:val="right"/>
              <w:rPr/>
            </w:pPr>
            <w:r>
              <w:rPr/>
              <w:t>208,125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LONG-TERM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investments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190" w:type="dxa"/>
        <w:jc w:val="left"/>
        <w:tblInd w:w="0" w:type="dxa"/>
        <w:tblLayout w:type="fixed"/>
        <w:tblCellMar>
          <w:top w:w="0" w:type="dxa"/>
          <w:left w:w="0" w:type="dxa"/>
          <w:bottom w:w="0" w:type="dxa"/>
          <w:right w:w="0" w:type="dxa"/>
        </w:tblCellMar>
      </w:tblPr>
      <w:tblGrid>
        <w:gridCol w:w="7280"/>
        <w:gridCol w:w="60"/>
        <w:gridCol w:w="140"/>
        <w:gridCol w:w="1100"/>
        <w:gridCol w:w="60"/>
        <w:gridCol w:w="60"/>
        <w:gridCol w:w="159"/>
        <w:gridCol w:w="1256"/>
        <w:gridCol w:w="75"/>
      </w:tblGrid>
      <w:tr>
        <w:trPr/>
        <w:tc>
          <w:tcPr>
            <w:tcW w:w="7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Worthy Credit Limited (“Worthy Credit”)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6,718,027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6,359,014</w:t>
            </w:r>
          </w:p>
        </w:tc>
        <w:tc>
          <w:tcPr>
            <w:tcW w:w="7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Shenzhen Yongdahui Trading Co., Ltd. (“Yongdahui”)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16,956,330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16,518,417</w:t>
            </w:r>
          </w:p>
        </w:tc>
        <w:tc>
          <w:tcPr>
            <w:tcW w:w="75" w:type="dxa"/>
            <w:tcBorders/>
            <w:shd w:fill="FFFFFF" w:val="clear"/>
            <w:vAlign w:val="center"/>
          </w:tcPr>
          <w:p>
            <w:pPr>
              <w:pStyle w:val="TableContents"/>
              <w:bidi w:val="0"/>
              <w:spacing w:before="0" w:after="283"/>
              <w:jc w:val="left"/>
              <w:rPr/>
            </w:pPr>
            <w:r>
              <w:rPr/>
              <w:t> </w:t>
            </w:r>
          </w:p>
        </w:tc>
      </w:tr>
      <w:tr>
        <w:trPr/>
        <w:tc>
          <w:tcPr>
            <w:tcW w:w="7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Beijing Zhixuan Tiangong Technology Development Co., Ltd. (“Zhixuan Tiangong”)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31,203,170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30,261,370</w:t>
            </w:r>
          </w:p>
        </w:tc>
        <w:tc>
          <w:tcPr>
            <w:tcW w:w="75" w:type="dxa"/>
            <w:tcBorders/>
            <w:shd w:fill="CCEEFF" w:val="clear"/>
            <w:vAlign w:val="center"/>
          </w:tcPr>
          <w:p>
            <w:pPr>
              <w:pStyle w:val="TableContents"/>
              <w:bidi w:val="0"/>
              <w:spacing w:before="0" w:after="283"/>
              <w:jc w:val="left"/>
              <w:rPr/>
            </w:pPr>
            <w:r>
              <w:rPr/>
              <w:t> </w:t>
            </w:r>
          </w:p>
        </w:tc>
      </w:tr>
      <w:tr>
        <w:trPr/>
        <w:tc>
          <w:tcPr>
            <w:tcW w:w="7280" w:type="dxa"/>
            <w:tcBorders/>
            <w:shd w:fill="FFFFFF" w:val="clear"/>
            <w:vAlign w:val="center"/>
          </w:tcPr>
          <w:p>
            <w:pPr>
              <w:pStyle w:val="TableContents"/>
              <w:bidi w:val="0"/>
              <w:spacing w:before="0" w:after="283"/>
              <w:jc w:val="left"/>
              <w:rPr/>
            </w:pPr>
            <w:r>
              <w:rPr/>
              <w:t>Total long-term debt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54,877,527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53,138,801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31, 2023, the Company entered into a five-year agreement with Worthy Credit, pursuant to which, the Company made payment of $6.0 million to Worthy Credit, and authorized Worthy Credit to invest the Company’s funds to provide loan services for housing mortgage applicants, with rates of return of 12% per annum. The qualification of the applicants was approved by the approval board, which was composed of the members of the Company and Worthy Credit. The Company recorded investment income of $359,014 and $359,014 for the six months ended June 30, 2026 and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30, 2025, the Company entered into a two-year agreement with Yongdahui, pursuant to which, the Company made payment of approximately $16.5 million (approximately RMB115.9 million) to invest in Yongdahui with rates of return of 6% per annum. This investment is guaranteed by a commitment letter provided by the Company’s controlling shareholder, Mr. Gang Li, pursuant to which he has agreed to settle any unpaid principal and interest in the event of default. The Company recorded investment income of $503,418 and $nil for the six months ended June 30, 2026 and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6, 2025, the Company entered into a two-year agreement with Zhixuan Tiangong, pursuant to which, the Company made payment of $30.0 million to invest in Zhixuan Tiangong with rates of return of 6% per annum. The qualification of the Zhixuan Tiangong was evaluated by an independent appraiser. The Company recorded investment income of $941,800 and $nil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long-term debt investments are measured at amortized cost. The Company evaluates these investments for expected credit losses in accordance with ASC 326, Financial Instruments - Credit Losses, and recognizes an allowance for credit losses based on lifetime expected losses, considering historical experience, current conditions, and reasonable and supportable forecasts. As of June 30, 2026, the Company’s long-term debt investments were concentrated with a limited number of counterparties. The Company monitors the creditworthiness of these counterparties on an ongoing basis and considers such concentration risk in its assessment of expected credit losses. Management assessed the expected credit losses associated with these investments, taking into account the financial condition of the counterparties, contractual terms, repayment history, and available guarantees. While the Company has not experienced any defaults to date and expects to realize these investments in accordance with their contractual terms, the concentration of these investments and reliance on counterparty performance and guarantees may expose the Company to credit and liquidity risks. Based on management’s assessment, no material allowance for credit losses was recorded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significantly increased its long-term debt investments as part of its strategy to enhance returns on excess cash and expand financing-related activities. The realization of returns from these investments is an important component of the Company’s liquidity planning and is subject to counterparty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2025, Xinjiang United Family entered into a loan agreement with Huaxia Bank to borrow RMB3.0 million ($428,844) as working capital for a year, with a maturity date of March 24, 2026. This loan bears a fixed interest rate of 3.5% per annum. The loan was guaranteed by Ms. Baolin Wang, the legal representative of Xinjiang United Family, and Urumqi Meihe Cancer Rehabilitation Hospital Co., Ltd., a related party controlled by a family member of the Company’s Chairman, Mr. Gang Li. The loan was repaid in full upon maturity.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Subsequently, on March 23, 2026, Xinjiang United Family entered into another loan agreement with Huaxia Bank to borrow RMB2.5 million ($368,051) as working capital for one year, with a maturity date of March 23, 2027. The loan bears a fixed interest rate of 3.0% per annum. The loan was guaranteed by Ms. Baolin Wang, Mr. Gang Li and Urumqi Meihe Cancer Rehabilitation Hospital Co., Ltd.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bank loans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3410"/>
        <w:gridCol w:w="60"/>
        <w:gridCol w:w="145"/>
        <w:gridCol w:w="1015"/>
        <w:gridCol w:w="60"/>
        <w:gridCol w:w="60"/>
        <w:gridCol w:w="176"/>
        <w:gridCol w:w="1239"/>
        <w:gridCol w:w="7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Tianshan Rural Commercial Bank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3,003,295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3,030,498</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Bank of China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1,972,752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FFFFFF" w:val="clear"/>
            <w:tcMar>
              <w:bottom w:w="28" w:type="dxa"/>
            </w:tcMar>
            <w:vAlign w:val="center"/>
          </w:tcPr>
          <w:p>
            <w:pPr>
              <w:pStyle w:val="TableContents"/>
              <w:bidi w:val="0"/>
              <w:spacing w:before="0" w:after="283"/>
              <w:jc w:val="right"/>
              <w:rPr/>
            </w:pPr>
            <w:r>
              <w:rPr/>
              <w:t>1,986,977</w:t>
            </w:r>
          </w:p>
        </w:tc>
        <w:tc>
          <w:tcPr>
            <w:tcW w:w="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Total long-term bank loans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4,976,047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5,017,475</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Long-term bank loans - current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3,032,739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371,665</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Long-term bank loans - non-current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1,943,308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4,645,810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Xinjiang United Family entered into a loan agreement with Tianshan Rural Commercial Bank to borrow RMB12.0 million ($1,766,644) as working capital for three years, with a maturity date of January 19, 2028. The loan bears a fixed interest rate of 5.0% per annum. The Company is required to make a semi-annual installment payment of RMB0.6 million ($88,332) within the term of the loan, with last installment of RMB9.0 million ($1,324,983) to be paid at maturity date. The loan is guaranteed by Mr. Gang Li and his family member, Ms. Ying Xiong, as well as Urumqi Plastic Surgery Hospital Co., Ltd., a related party that is controlled by Mr. Gang Li.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Xinjiang United Family entered into another loan agreement with Tianshan Rural Commercial Bank to borrow RMB10.0 million ($1,472,203) as working capital for two years, with a maturity date of March 23, 2027. The loan bears a fixed interest rate of 4.5% per annum. The Company is required to make a semi-annual installment payment of RMB0.2 million ($29,444) within the term of the loan, with last installment of RMB9.4 million ($1,383,871) to be paid at maturity date. The loan is guaranteed by Mr. Gang Li and his family member, Ms. Ying Xiong, and Urumqi Mary Maternity and Gynecology Hospital Co., Ltd., a related party that is controlled by Mr. Gang Li. In addition, the loan is also guaranteed by two third-party companies, as well as these two companies’ legal representatives and their family members.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these two loans were repaid as scheduled.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2025, Xinjiang United Family entered into a loan agreement with Bank of China to borrow RMB10.0 million ($1,472,203) as working capital for two years, with a maturity date of June 19, 2027. The loan bears a floating rate of China’s Loan Prime Rate (“LPR”), with every twelve months adjustments starting from the loan disbursement date. The Company is required to make a semi-annual installment payment of RMB 0.3 million ($44,166) within the term of the loan, with last installment of RMB 9.1 million ($1,339,705) to be paid at maturity date. The loan is guaranteed by Mr. Gang Li and his family member, Ms. Ying Xiong.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George Chanson Trading entered into a loan agreement with Bank of China to borrow RMB4.2 million ($618,325) as working capital for three years, with a maturity date of September 15, 2028. The loan bears a floating rate of China’s Loan Prime Rate (“LPR”), with every twelve months adjustments starting from the loan disbursement date. The Company is required to make a semi-annual installment payment of RMB 0.2 million ($29,444) within the term of the loan, with last installment of RMB 3.2 million ($471,105) to be paid at maturity date. The loan is guaranteed by Mr. Gang Li and his family member, Ms. Ying Xiong, as well as the other subsidiary of the Company, Xinjiang United Family.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these two loans were repaid as scheduled.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long-term bank loans as of June 30, 2026 were as follows:</w:t>
      </w:r>
    </w:p>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3185"/>
        <w:gridCol w:w="60"/>
        <w:gridCol w:w="145"/>
        <w:gridCol w:w="1015"/>
        <w:gridCol w:w="75"/>
      </w:tblGrid>
      <w:tr>
        <w:trPr/>
        <w:tc>
          <w:tcPr>
            <w:tcW w:w="3185" w:type="dxa"/>
            <w:tcBorders>
              <w:bottom w:val="single" w:sz="12" w:space="0" w:color="000000"/>
            </w:tcBorders>
            <w:vAlign w:val="center"/>
          </w:tcPr>
          <w:p>
            <w:pPr>
              <w:pStyle w:val="TableContents"/>
              <w:bidi w:val="0"/>
              <w:spacing w:before="0" w:after="283"/>
              <w:jc w:val="left"/>
              <w:rPr>
                <w:b/>
              </w:rPr>
            </w:pPr>
            <w:r>
              <w:rPr>
                <w:b/>
              </w:rPr>
              <w:t>Twelve months ended June 30:</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center"/>
              <w:rPr/>
            </w:pPr>
            <w:r>
              <w:rPr/>
              <w:t>(Unaudited)</w:t>
            </w:r>
          </w:p>
        </w:tc>
        <w:tc>
          <w:tcPr>
            <w:tcW w:w="75" w:type="dxa"/>
            <w:tcBorders/>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15" w:type="dxa"/>
            <w:tcBorders/>
            <w:shd w:fill="CCEEFF" w:val="clear"/>
            <w:tcMar>
              <w:bottom w:w="0" w:type="dxa"/>
            </w:tcMar>
            <w:vAlign w:val="center"/>
          </w:tcPr>
          <w:p>
            <w:pPr>
              <w:pStyle w:val="TableContents"/>
              <w:bidi w:val="0"/>
              <w:spacing w:before="0" w:after="283"/>
              <w:jc w:val="right"/>
              <w:rPr/>
            </w:pPr>
            <w:r>
              <w:rPr/>
              <w:t>3,032,739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right"/>
              <w:rPr/>
            </w:pPr>
            <w:r>
              <w:rPr/>
              <w:t>1,472,203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8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015" w:type="dxa"/>
            <w:tcBorders>
              <w:bottom w:val="single" w:sz="12" w:space="0" w:color="000000"/>
            </w:tcBorders>
            <w:shd w:fill="CCEEFF" w:val="clear"/>
            <w:vAlign w:val="center"/>
          </w:tcPr>
          <w:p>
            <w:pPr>
              <w:pStyle w:val="TableContents"/>
              <w:bidi w:val="0"/>
              <w:spacing w:before="0" w:after="283"/>
              <w:jc w:val="right"/>
              <w:rPr/>
            </w:pPr>
            <w:r>
              <w:rPr/>
              <w:t>471,105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8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FFFFFF" w:val="clear"/>
            <w:vAlign w:val="center"/>
          </w:tcPr>
          <w:p>
            <w:pPr>
              <w:pStyle w:val="TableContents"/>
              <w:bidi w:val="0"/>
              <w:spacing w:before="0" w:after="283"/>
              <w:jc w:val="left"/>
              <w:rPr/>
            </w:pPr>
            <w:r>
              <w:rPr/>
              <w:t>$</w:t>
            </w:r>
          </w:p>
        </w:tc>
        <w:tc>
          <w:tcPr>
            <w:tcW w:w="1015" w:type="dxa"/>
            <w:tcBorders>
              <w:bottom w:val="double" w:sz="10" w:space="0" w:color="000000"/>
            </w:tcBorders>
            <w:shd w:fill="FFFFFF" w:val="clear"/>
            <w:vAlign w:val="center"/>
          </w:tcPr>
          <w:p>
            <w:pPr>
              <w:pStyle w:val="TableContents"/>
              <w:bidi w:val="0"/>
              <w:spacing w:before="0" w:after="283"/>
              <w:jc w:val="right"/>
              <w:rPr/>
            </w:pPr>
            <w:r>
              <w:rPr/>
              <w:t>4,976,047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above-mentioned short-term and long-term bank loans, the Company recorded interest expenses of $110,603 and $74,745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customary covenants under its loan agreements. Management has assessed compliance with these covenants as of June 30, 2026 and concluded that the Company was in compliance with all applicable covenants. There were no events of default or breaches identified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assessed compliance with the terms of the loan agreements as of June 30, 2026 and concluded that the Company was in compliance with all applicable repayment and other contractual requirements. No events of default had occurred as of June 30, 2026 that would trigger early repayment or otherwise affect the classification of the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reviewed the terms of the loan agreements, including provisions related to covenant compliance and potential acceleration, and determined that the classification of the loans between current and non-current is appropriate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borrowings are guaranteed by the Company’s controlling shareholder, Mr. Gang Li, his family member, Ms. Ying Xiong, and entities controlled by Mr. Gang Li. These guarantees were provided to support the Company’s financing arrangements and were not separately compensated.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85"/>
        <w:gridCol w:w="1835"/>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183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Due to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both amounts due from and due to Mr. Gang Li arising primarily from funding arrangements involving the Company’s PRC and U.S. entities, with Mr. Gang Li acting as the central counterparty in facilitating the transfer and settlement of funds. On a gross basis, the Company had amounts due from Mr. Gang Li of approximately $15.1 million and amounts due to Mr. Gang Li of approximately $16.3 million as of June 30, 2026. Pursuant to an offsetting arrangement among the relevant parties, the Company has the right and intention to settle the reciprocal balances on a net basis. Accordingly, the Company presented a net amount due to the related party of approximately $1.2 million as of June 30, 2026. </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85"/>
        <w:gridCol w:w="2675"/>
      </w:tblGrid>
      <w:tr>
        <w:trPr/>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267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Other 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entered into various funding arrangements with Mr. Gang Li and entities controlled by or associated with Mr. Gang Li and his family. These transactions primarily consisted of interest-free advances and repayments, funding transfers, and payments made on behalf of the Company or related parties. The related transactions were authorized in accordance with the Company’s applicable approval procedures, and the related outstanding balances as of June 30, 2026 are reflected in the related-party balances described above,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related parties provided guarantees in connection with the Company’s short-term and long-term bank loans (see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a Premises Use Agreement dated April 30, 2020 and a Supplemental Agreement dated June 18, 2020, Urumqi Plastic Surgery Hospital Co., Ltd., a PRC company controlled by Mr. Gang Li, provided approximately 5,382 square feet office space for the Company’s headquarters without charge. The term of the agreement is from January 1, 2020 to June 25, 2028, unless otherwise terminated by either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acquired a commercial property unit from its controlling shareholder, Mr. Gang Li, through a debt settlement arrangement. The transaction involved the settlement of amounts due from the controlling shareholder, whereby the property was transferred to the Company in satisfaction of the outstanding balance. The Company determined the value of the property based on an independent third-party valuation at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the above transactions to be conducted in the normal course of business and, where applicable, based on terms comparable to those that could be obtained in transactions with unrelated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TAXES</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60"/>
        <w:gridCol w:w="287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8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Corporate Income Taxes (“CIT”)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as the case may be, nor will gains derived from the disposal of our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Deen Global is incorporated in the BVI as an offshore holding company and is not subject to tax on income or capital gain under the laws of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Jenyd is incorporated in Hong Kong and is subject to profit taxes in Hong Kong at a rate of 8.25% on assessable profits up to HK$2,000,000, and 16.5% on any part of assessable profits over HK$2,000,000. However, Jenyd did not generate any assessable profits arising in or derived from Hong Kong for the six months ended June 30, 2026 and 2025, and accordingly no provision for Hong Kong profits tax was made in these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Enterprise Income Tax (“EIT”) Law of the PRC, domestic enterprises and Foreign Investment Enterprises (the “FIE”) are usually subject to a unified 25% enterprise income tax rate while preferential tax rates, tax holidays, or exemptions may be granted on a case-by-case basis. The Company’s subsidiary, Xinjiang United Family and its branch offices were incorporated in the PRC and subject to 25% income tax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UFG entities are individually-owned businesses, which are not subject to the EIT Law of the PRC, but the Individual Income Tax. The Measures for Individual Income Tax Calculation of Individual Industrial and Commercial Households, or the “Measures,” were adopted by the State Administration of Taxation on December 19, 2014 and promulgated on December 27, 2014, and amended on June 15, 2018. According to Article 7 of the Measures, for the income from production and operation of individually-owned businesses, the amount of taxable income shall be the balance of the total income of each tax year after deducting costs, expenses, taxes, losses and other expenditures, and allowable compensation for losses in previous years. Income tax for an individually-owned business can generally be assessed on an actual basis or a deemed basis, which the UFG entities apply. The deemed basis adopted by the UFG entities includes two types: taxation based on fixed amount (“Fixed Amount Method”) and taxation based on fixed tax rate (“Fixed Rate Method”), both methods are as determined by the local tax authority on a case-by-case basis. Therefore, income tax for the UFG entities is levied either as a fixed amount pursuant to Fixed Amount Method, or at an industry-specific fixed rate pursuant to the Fixed Rate Method. According to Announcement No. 12 [2021], Announcement No. 6 [2023] and Announcement No. 12 [2023] of the State Taxation Administration, the income tax payable by the UFG entities shall be halved during the period from January 1, 2021 to December 31, 2027. For the six months ended June 30, 2026 and 2025, 42 and 14 of these UFG entities paid income tax, respectively. The rest of these UFG entities were exempted from paying income tax. During the six months ended June 30, 2026 and 2025, the total tax exemption of the UFG entities were $9,376 and $14,627, respectively. As of June 30, 2026, for the tax years ended December 31, 2021 through December 31, 2025 the Company’s UFG entities remained open for statutory examination by PRC tax authorities. In addition, the TNI and tax rate of the Company’s UFG entities are subject to periodical reassessment by the local tax authority. If the local tax authority determined that income tax for the UFG entities should be levied at a higher TNI or higher tax rate, the Company would be obligated to pay additional income tax for the UFG entities. Along with the continuing growth of business, the Company expects that the tax rates of these UFG entities are likely to increase in the future in the annual assessment based on the past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in the U.S. are subject to a U.S. federal corporate income tax rate of 21%.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provision for income taxes is attributable to the following geographic locations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3800"/>
        <w:gridCol w:w="60"/>
        <w:gridCol w:w="145"/>
        <w:gridCol w:w="1015"/>
        <w:gridCol w:w="95"/>
        <w:gridCol w:w="60"/>
        <w:gridCol w:w="140"/>
        <w:gridCol w:w="1055"/>
        <w:gridCol w:w="110"/>
      </w:tblGrid>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w:t>
              <w:br/>
              <w:t>Months Ended</w:t>
              <w:br/>
              <w:t>June 30,</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Cayman Islands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1,254,078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(237,780</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PRC</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177,259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480,596</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(560,447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(1,229,177</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Total income (loss) before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FFFFFF" w:val="clear"/>
            <w:tcMar>
              <w:bottom w:w="28" w:type="dxa"/>
            </w:tcMar>
            <w:vAlign w:val="center"/>
          </w:tcPr>
          <w:p>
            <w:pPr>
              <w:pStyle w:val="TableContents"/>
              <w:bidi w:val="0"/>
              <w:spacing w:before="0" w:after="283"/>
              <w:jc w:val="right"/>
              <w:rPr/>
            </w:pPr>
            <w:r>
              <w:rPr/>
              <w:t>870,890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(986,361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income tax provision were as follows:</w:t>
      </w:r>
    </w:p>
    <w:p>
      <w:pPr>
        <w:pStyle w:val="TextBody"/>
        <w:bidi w:val="0"/>
        <w:spacing w:before="0" w:after="0"/>
        <w:ind w:left="0" w:right="0" w:hanging="0"/>
        <w:jc w:val="left"/>
        <w:rPr>
          <w:caps w:val="false"/>
          <w:smallCaps w:val="false"/>
        </w:rPr>
      </w:pPr>
      <w:r>
        <w:rPr>
          <w:caps w:val="false"/>
          <w:smallCaps w:val="false"/>
        </w:rPr>
        <w:t> </w:t>
      </w:r>
    </w:p>
    <w:tbl>
      <w:tblPr>
        <w:tblW w:w="4738" w:type="dxa"/>
        <w:jc w:val="left"/>
        <w:tblInd w:w="0" w:type="dxa"/>
        <w:tblLayout w:type="fixed"/>
        <w:tblCellMar>
          <w:top w:w="0" w:type="dxa"/>
          <w:left w:w="0" w:type="dxa"/>
          <w:bottom w:w="0" w:type="dxa"/>
          <w:right w:w="0" w:type="dxa"/>
        </w:tblCellMar>
      </w:tblPr>
      <w:tblGrid>
        <w:gridCol w:w="2165"/>
        <w:gridCol w:w="60"/>
        <w:gridCol w:w="197"/>
        <w:gridCol w:w="962"/>
        <w:gridCol w:w="60"/>
        <w:gridCol w:w="60"/>
        <w:gridCol w:w="197"/>
        <w:gridCol w:w="962"/>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w:t>
              <w:br/>
              <w:t>Months Ended</w:t>
              <w:br/>
              <w:t>June 30,</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Current tax provision</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Cayman Islands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BVI</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PRC</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21,963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62,432</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FFFFFF" w:val="clear"/>
            <w:tcMar>
              <w:bottom w:w="28" w:type="dxa"/>
            </w:tcMar>
            <w:vAlign w:val="center"/>
          </w:tcPr>
          <w:p>
            <w:pPr>
              <w:pStyle w:val="TableContents"/>
              <w:bidi w:val="0"/>
              <w:spacing w:before="0" w:after="283"/>
              <w:jc w:val="right"/>
              <w:rPr/>
            </w:pPr>
            <w:r>
              <w:rPr/>
              <w:t>21,963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FFFFFF" w:val="clear"/>
            <w:tcMar>
              <w:bottom w:w="28" w:type="dxa"/>
            </w:tcMar>
            <w:vAlign w:val="center"/>
          </w:tcPr>
          <w:p>
            <w:pPr>
              <w:pStyle w:val="TableContents"/>
              <w:bidi w:val="0"/>
              <w:spacing w:before="0" w:after="283"/>
              <w:jc w:val="right"/>
              <w:rPr/>
            </w:pPr>
            <w:r>
              <w:rPr/>
              <w:t>62,432</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Deferred tax provision</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Cayman Islands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BVI</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PRC</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Income tax provisions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FFFFFF" w:val="clear"/>
            <w:tcMar>
              <w:bottom w:w="28" w:type="dxa"/>
            </w:tcMar>
            <w:vAlign w:val="center"/>
          </w:tcPr>
          <w:p>
            <w:pPr>
              <w:pStyle w:val="TableContents"/>
              <w:bidi w:val="0"/>
              <w:spacing w:before="0" w:after="283"/>
              <w:jc w:val="right"/>
              <w:rPr/>
            </w:pPr>
            <w:r>
              <w:rPr/>
              <w:t>21,963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10" w:space="0" w:color="000000"/>
            </w:tcBorders>
            <w:shd w:fill="FFFFFF" w:val="clear"/>
            <w:tcMar>
              <w:bottom w:w="28" w:type="dxa"/>
            </w:tcMar>
            <w:vAlign w:val="center"/>
          </w:tcPr>
          <w:p>
            <w:pPr>
              <w:pStyle w:val="TableContents"/>
              <w:bidi w:val="0"/>
              <w:spacing w:before="0" w:after="283"/>
              <w:jc w:val="right"/>
              <w:rPr/>
            </w:pPr>
            <w:r>
              <w:rPr/>
              <w:t>62,432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Reconciliation of the differences between the income tax provision computed based on PRC statutory income tax rate and the Company’s actual income tax provision for the six months ended June 30, 2026 and 2025 are as follows: </w:t>
      </w:r>
    </w:p>
    <w:p>
      <w:pPr>
        <w:pStyle w:val="TextBody"/>
        <w:bidi w:val="0"/>
        <w:spacing w:before="0" w:after="0"/>
        <w:ind w:left="0" w:right="0" w:hanging="0"/>
        <w:jc w:val="left"/>
        <w:rPr>
          <w:caps w:val="false"/>
          <w:smallCaps w:val="false"/>
        </w:rPr>
      </w:pPr>
      <w:r>
        <w:rPr>
          <w:caps w:val="false"/>
          <w:smallCaps w:val="false"/>
        </w:rPr>
        <w:t> </w:t>
      </w:r>
    </w:p>
    <w:tbl>
      <w:tblPr>
        <w:tblW w:w="9098" w:type="dxa"/>
        <w:jc w:val="left"/>
        <w:tblInd w:w="0" w:type="dxa"/>
        <w:tblLayout w:type="fixed"/>
        <w:tblCellMar>
          <w:top w:w="0" w:type="dxa"/>
          <w:left w:w="0" w:type="dxa"/>
          <w:bottom w:w="0" w:type="dxa"/>
          <w:right w:w="0" w:type="dxa"/>
        </w:tblCellMar>
      </w:tblPr>
      <w:tblGrid>
        <w:gridCol w:w="6455"/>
        <w:gridCol w:w="60"/>
        <w:gridCol w:w="159"/>
        <w:gridCol w:w="1000"/>
        <w:gridCol w:w="95"/>
        <w:gridCol w:w="60"/>
        <w:gridCol w:w="159"/>
        <w:gridCol w:w="1000"/>
        <w:gridCol w:w="110"/>
      </w:tblGrid>
      <w:tr>
        <w:trPr/>
        <w:tc>
          <w:tcPr>
            <w:tcW w:w="6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w:t>
              <w:br/>
              <w:t>Months Ended</w:t>
              <w:br/>
              <w:t>June 30,</w:t>
            </w:r>
          </w:p>
        </w:tc>
        <w:tc>
          <w:tcPr>
            <w:tcW w:w="110"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Income tax expense (benefit) computed based on PRC statutory rate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217,722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(246,590</w:t>
            </w:r>
          </w:p>
        </w:tc>
        <w:tc>
          <w:tcPr>
            <w:tcW w:w="110" w:type="dxa"/>
            <w:tcBorders/>
            <w:shd w:fill="CCEEFF" w:val="clear"/>
            <w:vAlign w:val="center"/>
          </w:tcPr>
          <w:p>
            <w:pPr>
              <w:pStyle w:val="TableContents"/>
              <w:bidi w:val="0"/>
              <w:spacing w:before="0" w:after="283"/>
              <w:jc w:val="left"/>
              <w:rPr/>
            </w:pPr>
            <w:r>
              <w:rPr/>
              <w:t>)</w:t>
            </w:r>
          </w:p>
        </w:tc>
      </w:tr>
      <w:tr>
        <w:trPr/>
        <w:tc>
          <w:tcPr>
            <w:tcW w:w="64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Favorable tax rate and tax exemption impact in PRC entities </w:t>
            </w:r>
            <w:r>
              <w:rPr>
                <w:rFonts w:ascii="Times New Roman;Times;Serif" w:hAnsi="Times New Roman;Times;Serif"/>
                <w:position w:val="7"/>
                <w:sz w:val="16"/>
                <w:sz w:val="20"/>
              </w:rPr>
              <w:t>(a)</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(22,351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(57,717</w:t>
            </w:r>
          </w:p>
        </w:tc>
        <w:tc>
          <w:tcPr>
            <w:tcW w:w="110" w:type="dxa"/>
            <w:tcBorders/>
            <w:shd w:fill="FFFFFF" w:val="clear"/>
            <w:vAlign w:val="center"/>
          </w:tcPr>
          <w:p>
            <w:pPr>
              <w:pStyle w:val="TableContents"/>
              <w:bidi w:val="0"/>
              <w:spacing w:before="0" w:after="283"/>
              <w:jc w:val="left"/>
              <w:rPr/>
            </w:pPr>
            <w:r>
              <w:rPr/>
              <w:t>)</w:t>
            </w:r>
          </w:p>
        </w:tc>
      </w:tr>
      <w:tr>
        <w:trPr/>
        <w:tc>
          <w:tcPr>
            <w:tcW w:w="6455" w:type="dxa"/>
            <w:tcBorders/>
            <w:shd w:fill="CCEEFF" w:val="clear"/>
            <w:vAlign w:val="center"/>
          </w:tcPr>
          <w:p>
            <w:pPr>
              <w:pStyle w:val="TableContents"/>
              <w:bidi w:val="0"/>
              <w:spacing w:before="0" w:after="283"/>
              <w:jc w:val="left"/>
              <w:rPr/>
            </w:pPr>
            <w:r>
              <w:rPr/>
              <w:t>Effect of rate differential for non-PRC entities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(291,102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108,612</w:t>
            </w:r>
          </w:p>
        </w:tc>
        <w:tc>
          <w:tcPr>
            <w:tcW w:w="11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117,694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258,127</w:t>
            </w:r>
          </w:p>
        </w:tc>
        <w:tc>
          <w:tcPr>
            <w:tcW w:w="11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Total income tax provisions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21,963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62,432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six months ended June 30, 2026 and 2025, Xinjiang United Family and its branch offices were subject to 25% income tax rate. For the six months ended June 30, 2026 and 2025, 42 and 14 of these UFG entities paid income tax, respectively. The rest of these UFG entities were exempted from paying income tax. For the six months ended June 30, 2026 and 2025, the tax saving as the result of the favorable tax rates and tax exemption amounted to $22,351 and $57,717, respectively, and per share effect of the favorable tax rate and tax exemption was $0.02 and $15.79,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net was comprised of the following:</w:t>
      </w:r>
    </w:p>
    <w:p>
      <w:pPr>
        <w:pStyle w:val="TextBody"/>
        <w:bidi w:val="0"/>
        <w:spacing w:before="0" w:after="0"/>
        <w:ind w:left="0" w:right="0" w:firstLine="420"/>
        <w:jc w:val="left"/>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2720"/>
        <w:gridCol w:w="60"/>
        <w:gridCol w:w="140"/>
        <w:gridCol w:w="1055"/>
        <w:gridCol w:w="95"/>
        <w:gridCol w:w="60"/>
        <w:gridCol w:w="165"/>
        <w:gridCol w:w="1250"/>
        <w:gridCol w:w="110"/>
      </w:tblGrid>
      <w:tr>
        <w:trPr/>
        <w:tc>
          <w:tcPr>
            <w:tcW w:w="2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Net 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3,689,839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3,572,145</w:t>
            </w:r>
          </w:p>
        </w:tc>
        <w:tc>
          <w:tcPr>
            <w:tcW w:w="11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3,689,839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3,572,145</w:t>
            </w:r>
          </w:p>
        </w:tc>
        <w:tc>
          <w:tcPr>
            <w:tcW w:w="11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(3,689,839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(3,572,145</w:t>
            </w:r>
          </w:p>
        </w:tc>
        <w:tc>
          <w:tcPr>
            <w:tcW w:w="110" w:type="dxa"/>
            <w:tcBorders/>
            <w:shd w:fill="CCEEFF" w:val="clear"/>
            <w:vAlign w:val="center"/>
          </w:tcPr>
          <w:p>
            <w:pPr>
              <w:pStyle w:val="TableContents"/>
              <w:bidi w:val="0"/>
              <w:spacing w:before="0" w:after="283"/>
              <w:jc w:val="left"/>
              <w:rPr/>
            </w:pPr>
            <w:r>
              <w:rPr/>
              <w:t>)</w:t>
            </w:r>
          </w:p>
        </w:tc>
      </w:tr>
      <w:tr>
        <w:trPr/>
        <w:tc>
          <w:tcPr>
            <w:tcW w:w="2720" w:type="dxa"/>
            <w:tcBorders/>
            <w:shd w:fill="FFFFFF" w:val="clear"/>
            <w:vAlign w:val="center"/>
          </w:tcPr>
          <w:p>
            <w:pPr>
              <w:pStyle w:val="TableContents"/>
              <w:bidi w:val="0"/>
              <w:spacing w:before="0" w:after="283"/>
              <w:jc w:val="left"/>
              <w:rPr/>
            </w:pPr>
            <w:r>
              <w:rPr/>
              <w:t>Total deferred tax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operations in the U.S. incurred a cumulative net operating loss (“NOL”) which may reduce future federal taxable income. As of December 31, 2025, the cumulative NOL was $17,010,211. During the six months ended June 30, 2026, the U.S. operations incurred an additional NOL of $560,447, resulting in a cumulative NOL of $17,570,658 as of June 30, 2026, among which approximately $2,882,465 will expire in 2037 and the remaining balance is carried forward indefinitely.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the likelihood of the realization of deferred tax assets, and reduces the carrying amount of the deferred tax assets by a valuation allowance to the extent it believes a portion will not be realized. Management considers new evidence, both positive and negative, that could affect the Company’s future realization of deferred tax assets including its recent cumulative earnings experience, expectation of future income, the carry forward periods available for tax reporting purposes and other relevant factors. The Company determined that it is more likely than not its deferred tax assets could not be realized due to uncertainty on future earnings in the U.S. operations. The Company provided a 100% valuation allowance for its deferred tax assets as of June 30, 2026 and December 31, 2025, respectively. </w:t>
      </w:r>
    </w:p>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60"/>
        <w:gridCol w:w="1265"/>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Taxes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204" w:type="dxa"/>
        <w:jc w:val="left"/>
        <w:tblInd w:w="0" w:type="dxa"/>
        <w:tblLayout w:type="fixed"/>
        <w:tblCellMar>
          <w:top w:w="0" w:type="dxa"/>
          <w:left w:w="0" w:type="dxa"/>
          <w:bottom w:w="0" w:type="dxa"/>
          <w:right w:w="0" w:type="dxa"/>
        </w:tblCellMar>
      </w:tblPr>
      <w:tblGrid>
        <w:gridCol w:w="2375"/>
        <w:gridCol w:w="60"/>
        <w:gridCol w:w="172"/>
        <w:gridCol w:w="987"/>
        <w:gridCol w:w="60"/>
        <w:gridCol w:w="60"/>
        <w:gridCol w:w="210"/>
        <w:gridCol w:w="1205"/>
        <w:gridCol w:w="75"/>
      </w:tblGrid>
      <w:tr>
        <w:trPr/>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8,039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5,852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Value added tax payable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67,360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Other taxes payable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center"/>
          </w:tcPr>
          <w:p>
            <w:pPr>
              <w:pStyle w:val="TableContents"/>
              <w:bidi w:val="0"/>
              <w:spacing w:before="0" w:after="283"/>
              <w:jc w:val="right"/>
              <w:rPr/>
            </w:pPr>
            <w:r>
              <w:rPr/>
              <w:t>209,532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176,088</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Total taxes payable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10" w:space="0" w:color="000000"/>
            </w:tcBorders>
            <w:shd w:fill="FFFFFF" w:val="clear"/>
            <w:tcMar>
              <w:bottom w:w="28" w:type="dxa"/>
            </w:tcMar>
            <w:vAlign w:val="center"/>
          </w:tcPr>
          <w:p>
            <w:pPr>
              <w:pStyle w:val="TableContents"/>
              <w:bidi w:val="0"/>
              <w:spacing w:before="0" w:after="283"/>
              <w:jc w:val="right"/>
              <w:rPr/>
            </w:pPr>
            <w:r>
              <w:rPr/>
              <w:t>217,571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249,300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Chanson International (formerly known as RON Holding Limited) was incorporated under the laws of the Cayman Islands on July 26, 2019. Upon incorporation, the authorized share capital of the Company was $50,000 divided into 50,000 ordinary shares of par value $1.00 each and 100 ordinary shares were issued. The issuance of these 100 ordinary shares, and the 1,000-for-1 share split (as described below) and the subsequent share issuances are considered as a part of the Reorganization of the Company, which was retroactively applied as if the transaction occurred at the beginning of the period presented (see Note 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27, 2021, the Company’s shareholders and board of directors approved (i) the subdivision of the Company’s authorized and issued share capital at a ratio of 1,000-for-1 share such that the authorized share capital of the Company was amended to $50,000 divided into 50,000,000 ordinary shares of par value $0.001 each and the 100 ordinary shares of a par value of $1 then issued and outstanding were subdivided into 100,000 ordinary shares of a par value of $0.001 (the “1,000-for-1 share split”); (ii) the creation of Class A Ordinary Shares and Class B ordinary shares, par value $0.001 per share (“Class B Ordinary Shares”, and collectively with Class A Ordinary Shares, “Ordinary Shares”). Holders of Class A Ordinary Shares and Class B Ordinary Shares have the same rights except for voting and conversion rights. In respect of matters requiring a vote of all shareholders, each holder of Class A Ordinary Shares will be entitled to one vote per one Class A Ordinary Share and each holder of Class B Ordinary Shares will be entitled to 10 votes per one Class B Ordinary Share. The Class A Ordinary Shares are not convertible into shares of any other class. The Class B Ordinary Shares are convertible into Class A Ordinary Shares at any time after issuance at the option of the holder on a one-to-one basis; (iii) the re-designation of 3,000 ordinary shares held by Haily Global Limited into 3,000 Class B Ordinary Shares; and (iv) issuances of Class A Ordinary Shares and Class B Ordinary Shares to the existing shareholders, to increase the number of total Ordinary Shares issued and outstanding prior to the completion of this offering from 100,000 to 9,000,000 (the “share issuances”). The Company believes the 1,000-for-1 share split and the share issuances should be considered as a part of the Reorganization of the Company and accounted for on a retroactive basis pursuant to ASC 260. The Company has retroactively restated all shares and per share data for all periods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12, 2025, the Company’s shareholders resolved to increase the authorized share capital from $50,000 divided into 5,500 (Pre-Reverse Share Split 44,000,000) Class A Ordinary Shares of $8.0 (Pre-Reverse Share Split $0.001) par value each and 750 (Pre-Reverse Share Split 6,000,000) Class B Ordinary Shares of $8.0 (Pre-Reverse Share Split $0.001) par value each, to $5,000,000 divided into 550,000 (Pre-Reverse Share Split 4,400,000,000) Class A Ordinary Shares of $8.0 (Pre-Reverse Share Split $0.001) par value each and 75,000 (Pre-Reverse Share Split 600,000,000) Class B Ordinary Shares of $8.0 (Pre-Reverse Share Split $0.001) par value each.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2025, the Company’s board of directors approved a 1-for-80 reverse stock split of its ordinary shares, which became effective on August 18, 2025 (the “2025 Reverse Share Split”). As a result of the 2025 Reverse Share Split, each of the eighty pre-split ordinary shares outstanding automatically combined and converted to one issued and outstanding ordinary share without any action on the part of the shareholders. No fractional shares were issued to any shareholders in connection with the Reverse Share Split. Each shareholder received one share of the Company in lieu of the fractional share that would have resulted from the Reverse Share Split. As a result of the 2025 Reverse Share Split, the par value changed from $0.1 (Pre-2026 Reverse Share Split $0.001) to $8.0 (Pre-2026 Reverse Share Split $0.08) accordingly. At the same time, the Company’s authorized share capital changed from $5,000,000 divided into 44,000,000 (Pre-2026 Reverse Share Split 4,400,000,000) Class A Ordinary Shares of $0.1 (Pre-2026 Reverse Share Split $0.001) par value each and 6,000,000 (Pre-2026 Reverse Share Split 600,000,000) Class B ordinary shares of $0.1 (Pre-2026 Reverse Share Split $0.001) par value each, to $5,000,000 divided into 550,000 (Pre-2026 Reverse Share Split 55,000,000) Class A Ordinary Shares of $8.0 (Pre-2026 Reverse Share Split $0.08) par value each and 75,000 (Pre-2026 Reverse Share Split 7,500,000) Class B Ordinary Shares of $8.0 (Pre-2026 Reverse Share Split $0.08) par value each. The Company has retroactively restated all shares and per share data for all periods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12, 2025, the Company’s shareholders resolved to increase the authorized share capital from $5,000,000 divided into 550,000 (Pre-2026 Reverse Share Split 55,000,000) Class A Ordinary Shares of $8.0 (Pre-2026 Reverse Share Split $0.08) par value each and 75,000 (Pre-2026 Reverse Share Split 7,500,000) Class B Ordinary Shares of $8.0 (Pre-2026 Reverse Share Split $0.08) par value each to $165,000,000 divided into 20,550,000 (Pre-2026 Reverse Share Split 2,055,000,000) Class A Ordinary Shares of $8.0 (Pre-2026 Reverse Share Split $0.08) par value each and 75,000 (Pre-2026 Reverse Share Split 7,500,000) Class B Ordinary Shares of $8.0 (Pre-2026 Reverse Share Split $0.08) par value each.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2026, the Company entered into a sales agreement (the “Sales Agreement”), with AC Sunshine Securities LLC (the “Sales Agent”) to act as its sales agent in connection with an at-the-market (“ATM”) offering program. Pursuant to the Sales Agreement, the Company may offer and sell, from time to time, to or through the Sales Agent, Class A Ordinary Shares, par value $8.0 (Pre-2026 Reverse Share Split $0.08) per share, for an aggregate offering price of up to $219,375,000 (the “Offered Shares”). In April 2026, 3,250,000 Class A Ordinary Shares (Pre-2026 Reverse Share Split 325,000,000) were issued under the Sales Agreement. On May 28, 2026, the Company surrendered 1,317,429 Class A Ordinary Shares for no consideration. As of June 30, 2026, net proceeds of approximately $13.0 million were fully received after deducting offering expenses and commissions. Subsequent to June 30, 2026, an additional 93,720 Class A Ordinary Shares were issued, with related additional net proceeds of approximately $0.1 million received in July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the Company’s shareholders resolved a series resolution relating to the reduction and reorganization of the Company’s share capital (the “Share Capital Reduction and Reorganization”), and on March 13, 2026, the Share Capital Reduction and Reorganization were approved by the Registrar of Companies of the Cayman Islands (the “Cayman Registrar”). The principal components of the Share Capital Reduction and Reorganization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the authorized share capital from $165,000,000 divided into 20,550,000 (Pre-2026 Reverse Share Split 2,055,000,000) Class A Ordinary Shares of $8.0 (Pre-2026 Reverse Share Split $0.08) par value each and 75,000 (Pre-2026 Reverse Share Split 7,500,000) Class B Ordinary Shares of $8.0 (Pre-2026 Reverse Share Split $0.08) par value each to $330,000,000 divided into 41,100,000 (Pre-2026 Reverse Share Split 4,110,000,000) Class A Ordinary Shares of $8.0 (Pre-2026 Reverse Share Split $0.08) par value each and  150,000 (Pre-2026 Reverse Share Split 15,000,000) Class B Ordinary Shares of $8.0 (Pre-2026 Reverse Share Split $0.08) par value each.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 value of each issued and outstanding Class A Ordinary Share of $8.0 (Pre-2026 Reverse Share Split $0.08) par value each and Class B Ordinary Share of $8.0 (Pre-2026 Reverse Share Split $0.08) par value each in the share capital of the Company be reduced to $0.01 (Pre-2026 Reverse Share Split $0.0001) by cancelling $7.99 (Pre-2026 Reverse Share Split $0.0799) of the paid-up capital on each of the issued and outstanding Class A Ordinary Shares of $8.0 (Pre-2026 Reverse Share Split $0.08) par value each and Class B Ordinary Shares of $8.0 (Pre-2026 Reverse Share Split $0.08) par value each (the “Share Capital Reduction”). Following the Share Capital Reduction, the amount deemed to be paid up on each issued and outstanding share of the Company shall be $0.01 (Pre-2026 Reverse Share Split $0.0001).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 each authorized but unissued Class A Ordinary Share of $8.0 (Pre-2026 Reverse Share Split $0.08) par value each be subdivided into 8 (Pre-2026 Reverse Share Split 800) Class A Ordinary Shares of $0.01 (Pre-2026 Reverse Share Split $0.0001) par value each, and each authorized but unissued Class B Ordinary Share of $8.0 (Pre-2026 Reverse Share Split $0.08) par value each be subdivided into 8 (Pre-2026 Reverse Share Split 800) Class B Ordinary Shares of $0.01 (Pre-2026 Reverse Share Split $0.0001) par value each (the “Subdivision”).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Subdivision, the authorized share capital of the Company be altered by the cancellation of such number of unissued Class A Ordinary Shares of $0.01 (Pre-2026 Reverse Share Split $0.0001) par value each and unissued Class B Ordinary Shares of $0.01 (Pre-2026 Reverse Share Split $0.0001) par value each that resulted in the Company having authorized share capital of $412,500 divided into 41,100,000 (Pre-2026 Reverse Share Split 4,110,000,000) Class A Ordinary Shares of $0.01 (Pre-2026 Reverse Share Split $0.0001) par value each and 150,000 (Pre-2026 Reverse Share Split 15,000,000) Class B Ordinary Shares of $0.01 (Pre-2026 Reverse Share Split $0.0001) par value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Share Capital Reduction and Reorganization, the Company’s authorized share capital was $412,500 divided into 41,100,000 (Pre-2026 Reverse Share Split 4,110,000,000) Class A Ordinary Shares of $0.01 (Pre-2026 Reverse Share Split $0.0001) par value each and 150,000 (Pre-2026 Reverse Share Split 15,000,000) Class B Ordinary Shares of $0.01 (Pre-2026 Reverse Share Split $0.0001) par value each.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2026, the Company announced a 1-for-100 reverse stock split of its authorized, issued and outstanding ordinary shares, which became effective on May 7, 2026 (the “2026 Reverse Share Split”). Each 100 ordinary shares outstanding were automatically combined and converted to one issued and outstanding ordinary share without any action on the part of the shareholders. No fractional shares were issued to any shareholders in connection with the 2026 Reverse Share Split, and each shareholder was entitled to receive one share of the Company in lieu of the fractional share of that class that would have resulted from the 2026 Reverse Share Split. As a result of the 2026 Reverse Share Split, the Company’s authorized share capital was changed from $412,500 divided into 4,110,000,000 Class A Ordinary Shares of $0.0001 par value each and 15,000,000 Class B Ordinary Shares of $0.0001 par value each, to $412,500 divided into 41,100,000 Class A Ordinary Shares of $0.01 par value each and 150,000 Class B Ordinary Shares of $0.01 par value each. The Company has retroactively restated all shares and per share data for all periods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 2023, the Company closed its IPO of 424 (Pre-Reverse Share Split 3,390,000) Class A Ordinary Shares at a public offering price of $32,000 (Pre-Reverse Share Split $4.0) per Class A Ordinary Share for the total gross proceeds of $13.6 million before deducting underwriting discounts and other related expenses. Net proceeds of the Company’s IPO were approximately $12.0 million. The Company’s Class A Ordinary Shares began trading on the Nasdaq Capital Market under the ticker symbol “CHSN” on March 30,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Representative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Company’s IPO, the Company agreed to issue warrants to the representative of several underwriters (“Representative warrants”), exercisable for a period of four and a half years commencing six months from the date of commencement of sales of the offering, to purchase 8 (Pre-Reverse Share Split 67,800) Class A Ordinary Shares at $32,000 (Pre-Reverse Share Split $4.0) per Class A Ordinary Share. As the Representative warrants are considered indexed to the Company’s own stock and meet the criteria for equity classification according to ASC 815-40, therefore, the Representative warrants are classified as equity on the unaudited condensed consolidated balance sheets. The warrants classified as equity are not subject to remeasurement after initial recognition. On December 13, 2023, 4 (Pre-Reverse Share Split 35,319) Class A Ordinary Share were issued as the Representative warrants were fully exercised on a cashless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2024, the Company’s shareholder Haily Global Limited elected to convert 34 (Pre-Reverse Share Split 270,000) Class B Ordinary Shares on a one-for-one basis into 34 (Pre-Reverse Share Split 270,000) Class A Ordinary Shares, which was duly approved by the Company’s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13, 2024, the Company entered into a securities purchase agreement with certain investors identified therein for a best efforts follow-on public offering of (i) 1,123 (Pre-Reverse Share Split 8,980,251) Class A Ordinary Shares, and (ii) 1,123 (Pre-Reverse Share Split 8,980,251) common warrants to purchase 1,123 (Pre-Reverse Share Split 8,980,251) Class A Ordinary Shares, at an exercise price of $7,776 (Pre-Reverse Share Split $0.972) per share, exercisable within one year anniversary of the closing of the offering. The Class A Ordinary Shares and common warrants were sold at a combined public offering price of $6,480 (Pre-Reverse Share Split $0.81) per share and accompanying warrants. The offering was closed on September 17, 2024, and the Company received aggregate gross proceeds of $7.3 million from the offering, before deducting offering expenses and commissions, excluding the exercise of any common warrants. During the year ended December 31, 2024, 737 (Pre-Reverse Share Split 5,894,137) Class A Ordinary Shares were issued as all the common warrants were exercised on a cashless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5, 2025, the Company entered into a securities purchase agreement with certain investors for a private placement offering of 375,000 (Pre-2026 Reverse Share Split 37,500,000) Class A Ordinary Shares at the subscription price of $80.0 (Pre-2026 Reverse Share Split $0.80) per Class A Ordinary Share. All of the Class A Ordinary Shares was issued on November 18, 2025, and the Company received aggregate gross proceeds of $30.0 million from the offering, before deducting offering expenses and commissions.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the Equity Security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13, 2025, the Company priced a best-efforts public offering for the sale of units as described below. The offering was comprised of 2,000 (Pre-Reverse Share Split 16,000,000) units (each a “Unit”), consisting of (i) one Class A Ordinary Share, or in lieu thereof, a pre-funded warrant (each a “Pre-Funded Warrant”); (ii) one series A warrant to purchase one Class A Ordinary Share (each a “Series A Warrant”); and (iii) one series B warrant to purchase one Class A Ordinary Share (each a “Series B Warrant”). The public offering price of the Units was $4,000 (Pre-Reverse Share Split $0.5) per Unit. The Pre-Funded Warrants will be immediately exercisable (subject to the beneficial ownership limitation) and may be exercised at any time until all of the Pre-Funded Warrants are exercised in full. Each of the Series A Warrants and the Series B Warrants would have an exercise price of $4,200 (Pre-Reverse Share Split $0.525) per Class A Ordinary Share and be exercisable beginning on the date of the issuance date and ending on the two and half anniversary of the issuance date. Additionally, holders of Series B Warrants may affect a “zero exercise price option,” under which up to 9,375 (Pre-Reverse Share Split 75,000,000) Class A Ordinary Shares may be issuable in aggregate under all Series B Warrants. The Company registered up to 13,375 (Pre-Reverse Share Split 107,000,000) Class A Ordinary Shares underlying the Pre-Funded Warrants, the Series A Warrants and the Series B Warrants. The offering was closed on June 16, 2025, and the Company received aggregate gross proceeds of $8.0 million from the offering, before deducting placement agent fees and other estimated expenses payable by the Company, excluding the exercise of any warrant offered. During the year ended December 31, 2025, 625 (Pre-Reverse Share Split 5,000,000) Class A Ordinary Shares were directly issued; 1,375 (Pre-Reverse Share Split 11,000,000) Class A Ordinary Shares were issued upon the exercise of all Pre-Funded Warrants; and 9,375 (Pre-Reverse Share Split 75,000,000) Class A Ordinary Shares were issued upon on the exercise of all Series B Warrants at zero exercise price option. No Series A Warrants had been exercised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had 41,100,000 (Pre-2026 Reverse Share Split 4,110,000,000) authorized Class A Ordinary Shares of a par value of $0.01 (Pre-2026 Reverse Share Split $0.0001), of which 2,321,682 shares and 389,080 (Pre-2026 Reverse Share Split 38,907,905) Class A Ordinary Shares were issued and outstanding as of June 30, 2026 and December 31, 2025, respectively, and the Company had 150,000 (Pre-2026 Reverse Share Split 15,000,000) authorized Class B Ordinary Shares of a par value of $0.01 (Pre-2026 Reverse Share Split $0.0001), of which 709 shares and 709 (Pre-2026 Reverse Share Split 70,875) Class B Ordinary Shares were issued and outstanding as of June 30, 2026 and December 31, 2025, respectively. In total, the Company had 41,250,000 (Pre-2026 Reverse Share Split 4,125,000,000) authorized Ordinary Shares of par value of $0.01 (Pre-2026 Reverse Share Split $0.0001) each, of which 2,322,391 shares and 389,789 (Pre-2026 Reverse Share Split 38,978,780) shares were issued and outstanding as of June 30, 2026 and December 31,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PRC subsidiaries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statutory reserve may be applied against prior year losses, if any, and may be used for general business expansion and production or increase in registered capital, but are not distributable as cash dividends. As of June 30, 2026 and December 31, 2025, the balance of the statutory reserves was $740,816 and $740,816,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PRC subsidiaries and the UFG entities are restricted in their ability to transfer a portion of their net assets, equivalent to their statutory reserves and their share capital to the Company in the form of loans, advances, or cash dividends. The payment of dividends by entities organized in China is subject to limitations, procedures, and formalities. Regulations in the PRC currently permit payment of dividends only out of accumulated profits as determined in accordance with accounting standards and regulations in China. As of June 30, 2026 and December 31, 2025, the total restricted net assets amounted to $14,382,727 and $6,382,727,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actions arising in the ordinary course of business. The Company accrues costs associated with these matters when they become probable and the amount can be reasonably estimated. Legal costs incurred in connection with loss contingencies are expensed as incurred. As of June 30, 2026 and December 31, 2025, there were no legal claims and litigation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280, Segment Reporting, operating segments are defined as components of an enterprise about which separate financial information is available that is evaluated regularly by the chief operating decision maker (the “CODM”), or decision-making group, in deciding how to allocate resources and in assessing performance. The Company uses the “management approach” in determining reportable operating segments. The management approach considers the internal organization and reporting used by the Company’s CODM for making operating decisions and assessing performance as the source for determining the Company’s reportable segments. Management, including the CODM, reviews operation results by locations. Based on management’s assessment, the Company has determined that it has two operating segments, China and the United States. Other operations are not material and are included within the United States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identified the measure of segment profit or loss reviewed by the CODM as net income (loss). The CODM uses this measure to evaluate segment performance and allocate resources. Significant segment expenses regularly provided to the CODM include cost of revenue, selling expenses, and general and administrative expenses, which are disclosed in the accompanying segment information. Other income and expenses are included in the measure of segment profit or loss reviewed by the CODM.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segment information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8555" w:type="dxa"/>
        <w:jc w:val="left"/>
        <w:tblInd w:w="0" w:type="dxa"/>
        <w:tblLayout w:type="fixed"/>
        <w:tblCellMar>
          <w:top w:w="0" w:type="dxa"/>
          <w:left w:w="0" w:type="dxa"/>
          <w:bottom w:w="0" w:type="dxa"/>
          <w:right w:w="0" w:type="dxa"/>
        </w:tblCellMar>
      </w:tblPr>
      <w:tblGrid>
        <w:gridCol w:w="4595"/>
        <w:gridCol w:w="60"/>
        <w:gridCol w:w="145"/>
        <w:gridCol w:w="1015"/>
        <w:gridCol w:w="95"/>
        <w:gridCol w:w="60"/>
        <w:gridCol w:w="145"/>
        <w:gridCol w:w="1015"/>
        <w:gridCol w:w="95"/>
        <w:gridCol w:w="60"/>
        <w:gridCol w:w="145"/>
        <w:gridCol w:w="1015"/>
        <w:gridCol w:w="110"/>
      </w:tblGrid>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 2026</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China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United</w:t>
              <w:br/>
              <w:t>States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7,814,323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481,432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8,295,755</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Less: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4,133,438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204,977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4,338,415</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3,084,876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170,354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3,255,230</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712,330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771,687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1,484,017</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(116,321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(665,586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(781,907</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(110,419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(3,612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(114,031</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(40,620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(37,404</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Interest income from long-term debt investments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444,618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1,359,614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1,804,232</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Profit before income tax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177,258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693,632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870,890</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(21,963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(21,963</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155,295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693,632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848,927</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FFFFFF" w:val="clear"/>
            <w:tcMar>
              <w:bottom w:w="28" w:type="dxa"/>
            </w:tcMar>
            <w:vAlign w:val="center"/>
          </w:tcPr>
          <w:p>
            <w:pPr>
              <w:pStyle w:val="TableContents"/>
              <w:bidi w:val="0"/>
              <w:spacing w:before="0" w:after="283"/>
              <w:jc w:val="right"/>
              <w:rPr/>
            </w:pPr>
            <w:r>
              <w:rPr/>
              <w:t>460,802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FFFFFF" w:val="clear"/>
            <w:tcMar>
              <w:bottom w:w="28" w:type="dxa"/>
            </w:tcMar>
            <w:vAlign w:val="center"/>
          </w:tcPr>
          <w:p>
            <w:pPr>
              <w:pStyle w:val="TableContents"/>
              <w:bidi w:val="0"/>
              <w:spacing w:before="0" w:after="283"/>
              <w:jc w:val="right"/>
              <w:rPr/>
            </w:pPr>
            <w:r>
              <w:rPr/>
              <w:t>97,029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FFFFFF" w:val="clear"/>
            <w:tcMar>
              <w:bottom w:w="28" w:type="dxa"/>
            </w:tcMar>
            <w:vAlign w:val="center"/>
          </w:tcPr>
          <w:p>
            <w:pPr>
              <w:pStyle w:val="TableContents"/>
              <w:bidi w:val="0"/>
              <w:spacing w:before="0" w:after="283"/>
              <w:jc w:val="right"/>
              <w:rPr/>
            </w:pPr>
            <w:r>
              <w:rPr/>
              <w:t>557,831</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159,331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159,331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94" w:type="dxa"/>
        <w:jc w:val="left"/>
        <w:tblInd w:w="0" w:type="dxa"/>
        <w:tblLayout w:type="fixed"/>
        <w:tblCellMar>
          <w:top w:w="0" w:type="dxa"/>
          <w:left w:w="0" w:type="dxa"/>
          <w:bottom w:w="0" w:type="dxa"/>
          <w:right w:w="0" w:type="dxa"/>
        </w:tblCellMar>
      </w:tblPr>
      <w:tblGrid>
        <w:gridCol w:w="4490"/>
        <w:gridCol w:w="60"/>
        <w:gridCol w:w="145"/>
        <w:gridCol w:w="1015"/>
        <w:gridCol w:w="95"/>
        <w:gridCol w:w="60"/>
        <w:gridCol w:w="160"/>
        <w:gridCol w:w="1209"/>
        <w:gridCol w:w="95"/>
        <w:gridCol w:w="60"/>
        <w:gridCol w:w="140"/>
        <w:gridCol w:w="1055"/>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 2025</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China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United States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7,784,323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903,885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8,688,208</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4,058,570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764,286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4,822,856</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2,452,200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364,928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2,817,128</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607,647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1,631,122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2,238,769</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665,906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(1,856,451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(1,190,545</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(74,598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(3,745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(78,343</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(110,713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34,226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(76,487</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Interest income from long term debt investment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FFFFFF" w:val="clear"/>
            <w:tcMar>
              <w:bottom w:w="28" w:type="dxa"/>
            </w:tcMar>
            <w:vAlign w:val="center"/>
          </w:tcPr>
          <w:p>
            <w:pPr>
              <w:pStyle w:val="TableContents"/>
              <w:bidi w:val="0"/>
              <w:spacing w:before="0" w:after="283"/>
              <w:jc w:val="right"/>
              <w:rPr/>
            </w:pPr>
            <w:r>
              <w:rPr/>
              <w:t>359,014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359,014</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Profit (loss) before income tax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480,595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(1,466,956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(986,361</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110" w:type="dxa"/>
            <w:tcBorders/>
            <w:shd w:fill="FFFFFF" w:val="clear"/>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418,163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shd w:fill="CCEEFF" w:val="clear"/>
            <w:tcMar>
              <w:bottom w:w="28" w:type="dxa"/>
            </w:tcMar>
            <w:vAlign w:val="center"/>
          </w:tcPr>
          <w:p>
            <w:pPr>
              <w:pStyle w:val="TableContents"/>
              <w:bidi w:val="0"/>
              <w:spacing w:before="0" w:after="283"/>
              <w:jc w:val="right"/>
              <w:rPr/>
            </w:pPr>
            <w:r>
              <w:rPr/>
              <w:t>(1,466,956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(1,048,793</w:t>
            </w:r>
          </w:p>
        </w:tc>
        <w:tc>
          <w:tcPr>
            <w:tcW w:w="110" w:type="dxa"/>
            <w:tcBorders/>
            <w:shd w:fill="CCEEFF" w:val="clear"/>
            <w:vAlign w:val="center"/>
          </w:tcPr>
          <w:p>
            <w:pPr>
              <w:pStyle w:val="TableContents"/>
              <w:bidi w:val="0"/>
              <w:spacing w:before="0" w:after="283"/>
              <w:jc w:val="left"/>
              <w:rPr/>
            </w:pPr>
            <w:r>
              <w:rPr/>
              <w:t>)</w:t>
            </w:r>
          </w:p>
        </w:tc>
      </w:tr>
      <w:tr>
        <w:trPr/>
        <w:tc>
          <w:tcPr>
            <w:tcW w:w="44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FFFFFF" w:val="clear"/>
            <w:tcMar>
              <w:bottom w:w="28" w:type="dxa"/>
            </w:tcMar>
            <w:vAlign w:val="center"/>
          </w:tcPr>
          <w:p>
            <w:pPr>
              <w:pStyle w:val="TableContents"/>
              <w:bidi w:val="0"/>
              <w:spacing w:before="0" w:after="283"/>
              <w:jc w:val="right"/>
              <w:rPr/>
            </w:pPr>
            <w:r>
              <w:rPr/>
              <w:t>281,051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shd w:fill="FFFFFF" w:val="clear"/>
            <w:tcMar>
              <w:bottom w:w="28" w:type="dxa"/>
            </w:tcMar>
            <w:vAlign w:val="center"/>
          </w:tcPr>
          <w:p>
            <w:pPr>
              <w:pStyle w:val="TableContents"/>
              <w:bidi w:val="0"/>
              <w:spacing w:before="0" w:after="283"/>
              <w:jc w:val="right"/>
              <w:rPr/>
            </w:pPr>
            <w:r>
              <w:rPr/>
              <w:t>111,925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392,976</w:t>
            </w:r>
          </w:p>
        </w:tc>
        <w:tc>
          <w:tcPr>
            <w:tcW w:w="110"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1,260,320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shd w:fill="CCEEFF" w:val="clear"/>
            <w:tcMar>
              <w:bottom w:w="28" w:type="dxa"/>
            </w:tcMar>
            <w:vAlign w:val="center"/>
          </w:tcPr>
          <w:p>
            <w:pPr>
              <w:pStyle w:val="TableContents"/>
              <w:bidi w:val="0"/>
              <w:spacing w:before="0" w:after="283"/>
              <w:jc w:val="right"/>
              <w:rPr/>
            </w:pPr>
            <w:r>
              <w:rPr/>
              <w:t>4,341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1,264,661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00" w:type="dxa"/>
        <w:jc w:val="left"/>
        <w:tblInd w:w="0" w:type="dxa"/>
        <w:tblLayout w:type="fixed"/>
        <w:tblCellMar>
          <w:top w:w="0" w:type="dxa"/>
          <w:left w:w="0" w:type="dxa"/>
          <w:bottom w:w="0" w:type="dxa"/>
          <w:right w:w="0" w:type="dxa"/>
        </w:tblCellMar>
      </w:tblPr>
      <w:tblGrid>
        <w:gridCol w:w="1490"/>
        <w:gridCol w:w="60"/>
        <w:gridCol w:w="140"/>
        <w:gridCol w:w="1100"/>
        <w:gridCol w:w="60"/>
        <w:gridCol w:w="60"/>
        <w:gridCol w:w="159"/>
        <w:gridCol w:w="1256"/>
        <w:gridCol w:w="75"/>
      </w:tblGrid>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both"/>
              <w:rPr/>
            </w:pPr>
            <w:r>
              <w:rPr/>
              <w:t>China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49,568,616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38,750,490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48,040,682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43,235,301</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97,609,298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81,985,791</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23,170,224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22,771,550</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3,990,127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3,003,309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27,160,351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25,774,859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14, 2026, the Company entered into a securities purchase agreement (the “Securities Purchase Agreement”) with certain investors for a private placement offering (the “Private Placement”) of 5,000,000 Class A ordinary shares (the “Shares”) of the Company, par value $0.01 per share, at the subscription price of $0.80 per Class A Ordinary Share, for aggregate gross proceeds of $4,000,000. The Company has received the gross proceeds in full from the investors, and all Shares have been issued as of the date of this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September 18, 2026, the date on which these unaudited condensed consolidated financial statements were issued, and concluded that there were no additional subsequent events, other than those disclosed above, requiring adjustment to or disclosure in,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 w:name="ea030567601ex99-2.htm"/>
      <w:bookmarkStart w:id="5" w:name="ksea030567601ex992"/>
      <w:bookmarkEnd w:id="4"/>
      <w:bookmarkEnd w:id="5"/>
      <w:r>
        <w:rPr>
          <w:b/>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 Announces First Half of Fiscal Year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URUMQI, China, Sep. 18, 2026 /PRNewswire/ -- Chanson International Holding (Nasdaq: CHSN) (the “Company” or “Chanson”), a provider of bakery, seasonal, and beverage products through its chain stores in China and the United States, today announced its unaudited 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Gang Li, Chairman of the Board of Directors and Chief Executive Officer of the Company, commented, “In the first half of fiscal year 2026, we remained focused on disciplined execution and operational resilience amid a challenging and evolving consumer environment. We improved our gross margin to 47.7% and returned to profitability, with net income of $0.8 million. This improvement reflects our continued focus on enhancing gross profitability, managing expenses, and optimizing our operations. Our cash position also strengthened significantly, providing us with greater financial flexibility to support ongoing operations and future development. Looking ahead, we will continue to prioritize operational efficiency, prudent cost and capital management, and disciplined execution. We will focus on optimizing our product portfolio and store operations, strengthening customer engagement, and actively pursuing growth opportunities in our markets. We believe these efforts will further strengthen our business fundamentals, enhance our resilience, and support sustainable long-term value creation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Fiscal Year 2026 Financial Summary</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was $8.3 million, compared to $8.7 million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 was $4.0 million, compared to $3.9 million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margin was 47.7%, compared to 44.5%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 was $0.8 million, compared to net loss of $1.0 million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Basic and diluted earnings per share were $0.64, compared to basic and diluted loss per share $286.93 for the same period of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of Fiscal Year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$8.3 million for the six months ended June 30, 2026, representing a 4.5% decrease from $8.7 million for the same period of last year. The decrease in revenue was due to decreased revenue from the stores in the United States (the “United States Stores”), which was partially offset by slightly increased revenue from the stores in China (the “China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China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China Stores remained relatively stable with a slight increase by $0.03 million, or 0.4%, from $7.78 million for the six months ended June 30, 2025 to $7.81 million for the six months ended June 30, 2026. The slight increase was mainly due to the increased revenue from bakery products, which was partially offset by the decreased revenue from other products.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from bakery products was $7.3 million for the six months ended June 30, 2026, representing a 2.5% increase from $7.2 million for the same period of last year. China’s economic recovery has progressed at a slower pace than expected amid ongoing downward economic pressure, which has softened consumer confidence and led to more cautious spending. Meanwhile, with the growing prevalence of online consumption, consumers have a wider range of choices and can conveniently purchase bakery products from online brands, which has intensified market competition. As a result, the Company’s revenue from bakery products slightly increased due to the challenging economic environment, cautious consumer spending, and shifts in consumer spending patterns, such as the transition from in-store consumption to online consumption during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Revenue from other products was $0.48 million for the six months ended June 30, 2026, representing a 23.9% decrease from $0.63 million for the same period of last year. The decrease was mainly due to decreased revenue from seasonal products and beverage products. Revenue from seasonal products was $0.38 million for the six months ended June 30, 2026, which decreased by 24.7% from $0.51 million for the same period of last year. The decrease was primarily attributable to the challenging economic environment and consumption downgrade as mentioned above. The Company’s customers were more sensitive to the selling price and preferred lower-priced seasonal products with the same quality during the six months ended June 30, 2026. Revenue from beverage products was $0.10 million for the six months ended June 30, 2026, a decrease by 20.5% from $0.12 million for the same period of last year. The opening of new stores by several well-known coffee chain brands in Xinjiang, offering products at low prices to gain market share, provided customers with more choices and contributed to a decline in beverage product revenue at the Company’s China Stores. As of June 30, 2026, a total of five coffee bakery stores were closed: one in fiscal year 2024, one in the first half of fiscal year 2025, and three in the six months ended June 30,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United States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U.S. Stores was $0.5 million for the six months ended June 30, 2026, representing a 46.7% decrease from $0.9 million for the same period of last year. The decrease was mainly due to decreased revenue from bakery products, eat-in services and beverage products.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Revenue from bakery products was $0.04 million for the six months ended June 30, 2026, representing an 82.7% decrease from $0.22 million for the same period of last year. The decrease was primarily attributable to the decreased revenue from Chanson 23rd Street LLC (“Chanson 23rd Street”) and Chanson 2040 Broadway LLC (“Chanson Broadway”). Facing increased competition from competitors operating in the same area, Chanson 23rd Street suspended its bakery products operations in April 2025. For Chanson Broadway, against the same backdrop of intensified local competition, the Company entered into a management and profit-sharing agreement with a third party in February 2026. Under the agreement, Chanson Broadway was rebranded and its operations were entrusted to the third party for a term from February 1, 2026 to January 31, 2032. The Company continued to provide relevant cooperation and business support and is entitled to receive a revenue-based fee from the third party. As a result, Chanson Broadway suspended its self-operated business, which contributed to the decline in bakery products revenue for the six months ended June 30, 2026.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Revenue from beverage products was $0.41 million for the six months ended June 30, 2026, representing a 35.8% decrease from $0.64 million for the same period of last year. The decrease was mainly attributable to the decreased revenue from Chanson 23rd Street, driven by intensified competition from operators in the same area, as well as the decreased revenue from Chanson Broadway resulting from the suspension of self-operated business as mentioned above.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
        <w:gridCol w:w="170"/>
        <w:gridCol w:w="9922"/>
      </w:tblGrid>
      <w:tr>
        <w:trPr/>
        <w:tc>
          <w:tcPr>
            <w:tcW w:w="11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from eat-in services was $0.03 million for the six months ended June 30, 2026, representing a 30.3% decrease from $0.05 million for the same period of last year. As mentioned above, Chanson Broadway suspended its self-operated business in February 2026, hence, revenue from eat-in services decreased for the six months ended June 30, 2026.</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$4.0 million for the six months ended June 30, 2026, which slightly increased by 2.4% from $3.9 million for the same period of last year. Gross margin was 47.7% for the six months ended June 30, 2026, which increased by 3.2 percentage points from 44.5%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$4.7 million for the six months ended June 30, 2026, compared to $5.1 million for the same period of last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Selling expenses were $3.3 million for the six months ended June 30, 2026, representing a 15.6% increase from $2.8 million for the same period of last year. The increase was primarily attributable to (i) an increase of $0.30 million in salaries and welfare benefit expenses, driven by expanded sales headcount. The Company deployed additional sales personnel to support new stores in the PRC opened in the second half of the fiscal year 2025, in light of its strong business outlook for these operations; and (ii) an increase of $0.22 million in online platform service fees, resulting from the increased online sales on the third-party platform during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 expenses were $1.5 million for the six months ended June 30, 2026, representing a 33.7% decrease from $2.2 million for the same period of last year. The decrease was primarily attributable to the non-recurrence of $0.5 million bad debt write-off expense recognized during the six months ended June 30, 2025. On April 3, 2023, the Company entered a loan agreement with Liberty Asset Management Capital Limited (the “Borrower”) to lend the Borrower $2.0 million for two years, with a maturity date of April 3, 2025. Due to the Borrower’s financial distress, the Company collected $1.5 million upon maturity of the loan, and the remaining balance of $0.5 million was fully written off and recognized as bad debt expense during the six months ended June 30, 2025. The decrease in general and administrative expenses was also attributable to a decrease of $0.2 million in consultant and professional fees, driven by reduced expenditures on audit, legal and other professional services during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 was $0.11 million for the six months ended June 30, 2026, representing a 45.6% increase from net interest expense of $0.08 million for the same period of last year. The increase in net interest expense was primarily attributable to the increased interest expense, which was in line with the increased weighted average loan balance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Income from Long-term Debt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from long-term debt investments was $1.8 million for the six months ended June 30, 2026, representing a 402.6% increase from $0.4 million for the same period of last year. The increase was primarily attributable to the two long-term debt investments entered into on June 30, 2025 and November 6, 2025, respectively. Together, these two investments generated $1.4 million of interest income for the full six months in the current period, while no interest income was recognized from them during the same period of last year. The remaining $0.4 million of interest income was recognized in each of the six-month periods ended June 30, 2026 and 2025, and was solely attributable to the long-term debt investment with Worthy Credit Limited (“Worthy Credit”) entered into on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was $0.8 million for the six months ended June 30, 2026, compared to net loss of $1.0 million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earnings per share were $0.64 for the six months ended June 30, 2026, compared to basic and diluted loss per share of $286.93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$20.0 million, compared to $8.6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$3.2 million for the six months ended June 30, 2026, compared to $0.4 million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$0.3 million for the six months ended June 30, 2026, compared to $1.5 million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$13.9 million for the six months ended June 30, 2026, compared to $8.6 million for the same period of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Chanson International 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2009, Chanson International Holding is a provider of bakery, seasonal, and beverage products through its chain stores in China and the United States. Headquartered in Urumqi, China, Chanson directly operates stores in Xinjiang, China and New York, United States. Chanson currently manages 53 stores in China, and three stores in New York City while selling on digital platforms and third-party online food ordering platforms. Chanson offers not only packaged bakery products but also made-in-store pastries and eat-in services, serving freshly prepared bakery products and extensive beverage products. Chanson aims to make healthy, nutritious, and ready-to-eat food through advanced facilities based on in-depth industry research, while creating a comfortable and distinguishable store environment for customers. Chanson’s dedicated and highly-experienced product development teams constantly create new products that reflect market trends to meet customer demand. For more information, please visit the Company’s website: http://ir.chanson-international.net/.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IR@chansoninternational.com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br/>
        <w:t>Phone: +1-646-932-7242</w:t>
        <w:b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5349/000121390025065280/ea0249173-s8_chanson.htm" TargetMode="External"/><Relationship Id="rId3" Type="http://schemas.openxmlformats.org/officeDocument/2006/relationships/hyperlink" Target="http://www.sec.gov/Archives/edgar/data/1825349/000121390025076637/ea0253250-f3_chans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22634</Words>
  <Characters>125184</Characters>
  <CharactersWithSpaces>149415</CharactersWithSpaces>
  <Paragraphs>5012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