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ind w:left="0" w:right="0" w:hanging="0"/>
        <w:jc w:val="left"/>
        <w:rPr>
          <w:bdr w:val="single" w:sz="16" w:space="1" w:color="000000"/>
        </w:rPr>
      </w:pPr>
      <w:bookmarkStart w:id="0" w:name="ea0278323-6k_chanson.htm"/>
      <w:bookmarkStart w:id="1" w:name="ksea02783236k_chanson"/>
      <w:bookmarkEnd w:id="0"/>
      <w:bookmarkEnd w:id="1"/>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6-K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br/>
        <w:t>PURSUANT TO RULE 13a-16 OR 15d-16</w:t>
        <w:br/>
        <w:t>UNDER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February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001-41663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Chanson International Holding</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B9 Xinjiang Chuangbo Zhigu Industrial Park</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100 Guangyuan Road, Shuimogou District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Urumqi, Xinjiang, China</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of principal executive office)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Results of Chanson International Holding’s Extraordinary General Meeting of Shareholders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extraordinary general meeting of shareholders (the “</w:t>
      </w:r>
      <w:r>
        <w:rPr>
          <w:rFonts w:ascii="Times New Roman;Times;Serif" w:hAnsi="Times New Roman;Times;Serif"/>
          <w:b/>
          <w:i w:val="false"/>
          <w:caps w:val="false"/>
          <w:smallCaps w:val="false"/>
          <w:sz w:val="20"/>
        </w:rPr>
        <w:t>EGM</w:t>
      </w:r>
      <w:r>
        <w:rPr>
          <w:rFonts w:ascii="Times New Roman;Times;Serif" w:hAnsi="Times New Roman;Times;Serif"/>
          <w:b w:val="false"/>
          <w:i w:val="false"/>
          <w:caps w:val="false"/>
          <w:smallCaps w:val="false"/>
          <w:sz w:val="20"/>
        </w:rPr>
        <w:t>”) of the Company was held on February 23, 2026, at 10:00 a.m., Eastern Time. In-person participants attended the EGM at B9 Xinjiang Chuangbo Zhigu Industrial Park, No. 100 Guangyuan Road, Shuimogou District, Urumqi, Xinjiang, China 830017. Remote participants attended the EGM at www.virtualshareholdermeeting.com/CHSN2026.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EGM, shareholders of the Company duly adopted the following resolutions: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0"/>
        <w:gridCol w:w="10055"/>
      </w:tblGrid>
      <w:tr>
        <w:trPr/>
        <w:tc>
          <w:tcPr>
            <w:tcW w:w="1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100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Resolved as an ordinary resolution that the authorised share capital of the Company be increased from US$165,000,000 divided into 2,055,000,000 Class A ordinary shares of US$0.08 par value each and 7,500,000 Class B ordinary shares of US$0.08 par value each to US$330,000,000 divided into 4,110,000,000 Class A ordinary shares of US$0.08 par value each and 15,000,000 Class B ordinary shares of US$0.08 par value each (the “</w:t>
            </w:r>
            <w:r>
              <w:rPr>
                <w:rFonts w:ascii="Times New Roman;Times;Serif" w:hAnsi="Times New Roman;Times;Serif"/>
                <w:b/>
                <w:sz w:val="20"/>
              </w:rPr>
              <w:t>Share Capital Increase</w:t>
            </w:r>
            <w:r>
              <w:rPr>
                <w:rFonts w:ascii="Times New Roman;Times;Serif" w:hAnsi="Times New Roman;Times;Serif"/>
                <w:sz w:val="20"/>
              </w:rPr>
              <w:t>”).</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3"/>
        <w:gridCol w:w="10052"/>
      </w:tblGrid>
      <w:tr>
        <w:trPr/>
        <w:tc>
          <w:tcPr>
            <w:tcW w:w="15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1005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Resolved as a special resolution that, subject to and immediately following the Share Capital Increase being effected, the Company adopt amended and restated memorandum of association, in the form attached to the proxy notice as </w:t>
            </w:r>
            <w:r>
              <w:rPr>
                <w:rFonts w:ascii="Times New Roman;Times;Serif" w:hAnsi="Times New Roman;Times;Serif"/>
                <w:sz w:val="20"/>
                <w:u w:val="single"/>
              </w:rPr>
              <w:t>Exhibit A</w:t>
            </w:r>
            <w:r>
              <w:rPr>
                <w:rFonts w:ascii="Times New Roman;Times;Serif" w:hAnsi="Times New Roman;Times;Serif"/>
                <w:sz w:val="20"/>
              </w:rPr>
              <w:t>, in substitution for, and to the exclusion of, the Company’s existing memorandum of association, to reflect the Share Capital Increase.</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100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Resolved as a special resolution, subject to the Share Capital Increase being effected and all further requirements prescribed by sections 14, 14A and 14B of the Companies Act (Revised) (the “</w:t>
            </w:r>
            <w:r>
              <w:rPr>
                <w:rFonts w:ascii="Times New Roman;Times;Serif" w:hAnsi="Times New Roman;Times;Serif"/>
                <w:b/>
                <w:sz w:val="20"/>
              </w:rPr>
              <w:t>Companies Act</w:t>
            </w:r>
            <w:r>
              <w:rPr>
                <w:rFonts w:ascii="Times New Roman;Times;Serif" w:hAnsi="Times New Roman;Times;Serif"/>
                <w:sz w:val="20"/>
              </w:rPr>
              <w:t>”) relating to share capital reductions being complied with, that (together, the “</w:t>
            </w:r>
            <w:r>
              <w:rPr>
                <w:rFonts w:ascii="Times New Roman;Times;Serif" w:hAnsi="Times New Roman;Times;Serif"/>
                <w:b/>
                <w:sz w:val="20"/>
              </w:rPr>
              <w:t>Share Capital Reduction and Reorganisation</w:t>
            </w:r>
            <w:r>
              <w:rPr>
                <w:rFonts w:ascii="Times New Roman;Times;Serif" w:hAnsi="Times New Roman;Times;Serif"/>
                <w:sz w:val="20"/>
              </w:rPr>
              <w:t>”):</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Share Capital Reduction</w:t>
      </w:r>
    </w:p>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55"/>
        <w:gridCol w:w="9975"/>
      </w:tblGrid>
      <w:tr>
        <w:trPr/>
        <w:tc>
          <w:tcPr>
            <w:tcW w:w="75"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par value of each issued and outstanding Class A ordinary share of US$0.08 par value each and Class B ordinary share of US$0.08 par value each in the share capital of the Company be reduced to US$0.0001 by cancelling US$0.0799 of the paid-up capital on each of the issued and outstanding Class A ordinary shares of US$0.08 par value each and Class B ordinary shares of US$0.08 par value each (the “</w:t>
            </w:r>
            <w:r>
              <w:rPr>
                <w:rFonts w:ascii="Times New Roman;Times;Serif" w:hAnsi="Times New Roman;Times;Serif"/>
                <w:b/>
                <w:sz w:val="20"/>
              </w:rPr>
              <w:t>Share Capital Reduction</w:t>
            </w:r>
            <w:r>
              <w:rPr>
                <w:rFonts w:ascii="Times New Roman;Times;Serif" w:hAnsi="Times New Roman;Times;Serif"/>
                <w:sz w:val="20"/>
              </w:rPr>
              <w:t>”);</w:t>
            </w:r>
          </w:p>
        </w:tc>
      </w:tr>
    </w:tbl>
    <w:p>
      <w:pPr>
        <w:pStyle w:val="TextBody"/>
        <w:bidi w:val="0"/>
        <w:spacing w:before="0" w:after="0"/>
        <w:ind w:left="15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following the Share Capital Reduction, the amount deemed to be paid up on each issued and outstanding share of the Company shall be US$0.0001;</w:t>
            </w:r>
          </w:p>
        </w:tc>
      </w:tr>
    </w:tbl>
    <w:p>
      <w:pPr>
        <w:pStyle w:val="TextBody"/>
        <w:bidi w:val="0"/>
        <w:spacing w:before="0" w:after="0"/>
        <w:ind w:left="15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55"/>
        <w:gridCol w:w="9975"/>
      </w:tblGrid>
      <w:tr>
        <w:trPr/>
        <w:tc>
          <w:tcPr>
            <w:tcW w:w="75"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99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credit arising from the Share Capital Reduction be transferred to a distributable reserve account of the Company which may be utilised by the Company as the board of directors of the Company may deem fit and as permitted under the Companies Act, the Company’s memorandum and articles of association, and all relevant applicable laws, including, without limitation, eliminating or setting off any accumulated losses of the Company (if any) from time to time;</w:t>
            </w:r>
          </w:p>
        </w:tc>
      </w:tr>
    </w:tbl>
    <w:p>
      <w:pPr>
        <w:pStyle w:val="TextBody"/>
        <w:bidi w:val="0"/>
        <w:spacing w:before="0" w:after="0"/>
        <w:ind w:left="1560" w:right="0" w:hanging="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1 </w:t>
      </w:r>
    </w:p>
    <w:p>
      <w:pPr>
        <w:pStyle w:val="TextBody"/>
        <w:bidi w:val="0"/>
        <w:spacing w:before="0" w:after="0"/>
        <w:ind w:left="0" w:right="0" w:hanging="0"/>
        <w:jc w:val="left"/>
        <w:rPr/>
      </w:pPr>
      <w:r>
        <w:rPr/>
        <w:t> </w:t>
      </w:r>
    </w:p>
    <w:p>
      <w:pPr>
        <w:pStyle w:val="TextBody"/>
        <w:bidi w:val="0"/>
        <w:spacing w:before="0" w:after="0"/>
        <w:ind w:left="15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Share Capital Subdivision</w:t>
      </w:r>
    </w:p>
    <w:p>
      <w:pPr>
        <w:pStyle w:val="TextBody"/>
        <w:bidi w:val="0"/>
        <w:spacing w:before="0" w:after="0"/>
        <w:ind w:left="720" w:right="0" w:hanging="0"/>
        <w:jc w:val="both"/>
        <w:rPr>
          <w:caps w:val="false"/>
          <w:smallCaps w:val="false"/>
        </w:rPr>
      </w:pPr>
      <w:r>
        <w:rPr>
          <w:caps w:val="false"/>
          <w:smallCaps w:val="false"/>
        </w:rPr>
        <w:t> </w:t>
      </w:r>
    </w:p>
    <w:tbl>
      <w:tblPr>
        <w:tblW w:w="4540" w:type="dxa"/>
        <w:jc w:val="left"/>
        <w:tblInd w:w="0" w:type="dxa"/>
        <w:tblLayout w:type="fixed"/>
        <w:tblCellMar>
          <w:top w:w="0" w:type="dxa"/>
          <w:left w:w="0" w:type="dxa"/>
          <w:bottom w:w="0" w:type="dxa"/>
          <w:right w:w="0" w:type="dxa"/>
        </w:tblCellMar>
      </w:tblPr>
      <w:tblGrid>
        <w:gridCol w:w="75"/>
        <w:gridCol w:w="170"/>
        <w:gridCol w:w="429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42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immediately following the Share Capital Reduction:</w:t>
            </w:r>
          </w:p>
        </w:tc>
      </w:tr>
    </w:tbl>
    <w:p>
      <w:pPr>
        <w:pStyle w:val="TextBody"/>
        <w:bidi w:val="0"/>
        <w:spacing w:before="0" w:after="0"/>
        <w:ind w:left="15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25"/>
        <w:gridCol w:w="10005"/>
      </w:tblGrid>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10005" w:type="dxa"/>
            <w:tcBorders/>
            <w:vAlign w:val="center"/>
          </w:tcPr>
          <w:p>
            <w:pPr>
              <w:pStyle w:val="TableContents"/>
              <w:bidi w:val="0"/>
              <w:spacing w:before="0" w:after="283"/>
              <w:jc w:val="both"/>
              <w:rPr/>
            </w:pPr>
            <w:r>
              <w:rPr/>
              <w:t>each authorised but unissued Class A ordinary share of US$0.08 par value each be subdivided into 800 Class A ordinary shares of US$0.0001 par value each; and  </w:t>
            </w:r>
          </w:p>
        </w:tc>
      </w:tr>
    </w:tbl>
    <w:p>
      <w:pPr>
        <w:pStyle w:val="TextBody"/>
        <w:bidi w:val="0"/>
        <w:spacing w:before="0" w:after="0"/>
        <w:ind w:left="228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85"/>
        <w:gridCol w:w="9945"/>
      </w:tblGrid>
      <w:tr>
        <w:trPr/>
        <w:tc>
          <w:tcPr>
            <w:tcW w:w="7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w:t>
            </w:r>
          </w:p>
        </w:tc>
        <w:tc>
          <w:tcPr>
            <w:tcW w:w="99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each authorised but unissued Class B ordinary share of US$0.08 par value each be subdivided into 800 Class B ordinary shares of US$0.0001 par value each,</w:t>
            </w:r>
          </w:p>
        </w:tc>
      </w:tr>
    </w:tbl>
    <w:p>
      <w:pPr>
        <w:pStyle w:val="TextBody"/>
        <w:bidi w:val="0"/>
        <w:spacing w:before="0" w:after="0"/>
        <w:ind w:left="2280" w:right="0" w:hanging="36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t>
      </w:r>
      <w:r>
        <w:rPr>
          <w:rFonts w:ascii="Times New Roman;Times;Serif" w:hAnsi="Times New Roman;Times;Serif"/>
          <w:b/>
          <w:i w:val="false"/>
          <w:caps w:val="false"/>
          <w:smallCaps w:val="false"/>
          <w:sz w:val="20"/>
        </w:rPr>
        <w:t>Subdivision</w:t>
      </w:r>
      <w:r>
        <w:rPr>
          <w:rFonts w:ascii="Times New Roman;Times;Serif" w:hAnsi="Times New Roman;Times;Serif"/>
          <w:b w:val="false"/>
          <w:i w:val="false"/>
          <w:caps w:val="false"/>
          <w:smallCaps w:val="false"/>
          <w:sz w:val="20"/>
        </w:rPr>
        <w:t>”);</w:t>
      </w:r>
    </w:p>
    <w:p>
      <w:pPr>
        <w:pStyle w:val="TextBody"/>
        <w:bidi w:val="0"/>
        <w:spacing w:before="0" w:after="0"/>
        <w:ind w:left="720" w:right="0" w:firstLine="60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Share Capital Cancellation</w:t>
      </w:r>
    </w:p>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55"/>
        <w:gridCol w:w="9975"/>
      </w:tblGrid>
      <w:tr>
        <w:trPr/>
        <w:tc>
          <w:tcPr>
            <w:tcW w:w="75"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w:t>
            </w:r>
          </w:p>
        </w:tc>
        <w:tc>
          <w:tcPr>
            <w:tcW w:w="99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immediately following the Subdivision, the authorised share capital of the Company be altered by the cancellation of such number of unissued Class A ordinary shares of US$0.0001 par value each and unissued Class B ordinary shares of US$0.0001 par value each that will result in the Company having authorised share capital of US$412,500 divided into 4,110,000,000 Class A ordinary shares of US$0.0001 par value each and 15,000,000 Class B ordinary shares of US$0.0001 par value each (the “</w:t>
            </w:r>
            <w:r>
              <w:rPr>
                <w:rFonts w:ascii="Times New Roman;Times;Serif" w:hAnsi="Times New Roman;Times;Serif"/>
                <w:b/>
                <w:sz w:val="20"/>
              </w:rPr>
              <w:t>Cancellation</w:t>
            </w:r>
            <w:r>
              <w:rPr>
                <w:rFonts w:ascii="Times New Roman;Times;Serif" w:hAnsi="Times New Roman;Times;Serif"/>
                <w:sz w:val="20"/>
              </w:rPr>
              <w:t>”); and</w:t>
            </w:r>
          </w:p>
        </w:tc>
      </w:tr>
    </w:tbl>
    <w:p>
      <w:pPr>
        <w:pStyle w:val="TextBody"/>
        <w:bidi w:val="0"/>
        <w:spacing w:before="0" w:after="0"/>
        <w:ind w:left="1560" w:right="0" w:hanging="36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Authorised Share Capital Confirmation</w:t>
      </w:r>
    </w:p>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25"/>
        <w:gridCol w:w="10005"/>
      </w:tblGrid>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w:t>
            </w:r>
          </w:p>
        </w:tc>
        <w:tc>
          <w:tcPr>
            <w:tcW w:w="100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immediately following the Share Capital Reduction, the Subdivision and Cancellation, the authorised share capital of the Company shall be US$412,500 divided into 4,110,000,000 Class A ordinary shares of US$0.0001 par value each and 15,000,000 Class B ordinary shares of US$0.0001 par value each.</w:t>
            </w:r>
          </w:p>
        </w:tc>
      </w:tr>
    </w:tbl>
    <w:p>
      <w:pPr>
        <w:pStyle w:val="TextBody"/>
        <w:bidi w:val="0"/>
        <w:spacing w:before="0" w:after="0"/>
        <w:ind w:left="15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1"/>
        <w:gridCol w:w="10054"/>
      </w:tblGrid>
      <w:tr>
        <w:trPr/>
        <w:tc>
          <w:tcPr>
            <w:tcW w:w="15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1005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Resolved as a special resolution that, subject to and immediately following the Share Capital Reduction and Reorganisation being effected, the Company adopt amended and restated memorandum of association, in the form attached to the proxy notice as </w:t>
            </w:r>
            <w:r>
              <w:rPr>
                <w:rFonts w:ascii="Times New Roman;Times;Serif" w:hAnsi="Times New Roman;Times;Serif"/>
                <w:sz w:val="20"/>
                <w:u w:val="single"/>
              </w:rPr>
              <w:t>Exhibit B</w:t>
            </w:r>
            <w:r>
              <w:rPr>
                <w:rFonts w:ascii="Times New Roman;Times;Serif" w:hAnsi="Times New Roman;Times;Serif"/>
                <w:sz w:val="20"/>
              </w:rPr>
              <w:t>, in substitution for, and to the exclusion of, the Company’s existing memorandum of association, to reflect the Share Capital Reduction and Reorganisation.</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both"/>
        <w:rPr>
          <w:caps w:val="false"/>
          <w:smallCaps w:val="false"/>
        </w:rPr>
      </w:pPr>
      <w:r>
        <w:rPr>
          <w:caps w:val="false"/>
          <w:smallCaps w:val="false"/>
        </w:rPr>
        <w:t> </w:t>
      </w:r>
    </w:p>
    <w:tbl>
      <w:tblPr>
        <w:tblW w:w="5730" w:type="dxa"/>
        <w:jc w:val="left"/>
        <w:tblInd w:w="0" w:type="dxa"/>
        <w:tblLayout w:type="fixed"/>
        <w:tblCellMar>
          <w:top w:w="0" w:type="dxa"/>
          <w:left w:w="0" w:type="dxa"/>
          <w:bottom w:w="0" w:type="dxa"/>
          <w:right w:w="0" w:type="dxa"/>
        </w:tblCellMar>
      </w:tblPr>
      <w:tblGrid>
        <w:gridCol w:w="2000"/>
        <w:gridCol w:w="635"/>
        <w:gridCol w:w="3095"/>
      </w:tblGrid>
      <w:tr>
        <w:trPr/>
        <w:tc>
          <w:tcPr>
            <w:tcW w:w="2000" w:type="dxa"/>
            <w:tcBorders/>
            <w:vAlign w:val="center"/>
          </w:tcPr>
          <w:p>
            <w:pPr>
              <w:pStyle w:val="TableContents"/>
              <w:bidi w:val="0"/>
              <w:spacing w:before="0" w:after="283"/>
              <w:jc w:val="left"/>
              <w:rPr/>
            </w:pPr>
            <w:r>
              <w:rPr/>
              <w:t> </w:t>
            </w:r>
          </w:p>
        </w:tc>
        <w:tc>
          <w:tcPr>
            <w:tcW w:w="3730"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Chanson International Holding</w:t>
            </w:r>
          </w:p>
        </w:tc>
      </w:tr>
      <w:tr>
        <w:trPr/>
        <w:tc>
          <w:tcPr>
            <w:tcW w:w="200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pPr>
            <w:r>
              <w:rPr/>
              <w:t> </w:t>
            </w:r>
          </w:p>
        </w:tc>
        <w:tc>
          <w:tcPr>
            <w:tcW w:w="3095" w:type="dxa"/>
            <w:tcBorders/>
            <w:vAlign w:val="center"/>
          </w:tcPr>
          <w:p>
            <w:pPr>
              <w:pStyle w:val="TableContents"/>
              <w:bidi w:val="0"/>
              <w:spacing w:before="0" w:after="283"/>
              <w:jc w:val="left"/>
              <w:rPr/>
            </w:pPr>
            <w:r>
              <w:rPr/>
              <w:t> </w:t>
            </w:r>
          </w:p>
        </w:tc>
      </w:tr>
      <w:tr>
        <w:trPr/>
        <w:tc>
          <w:tcPr>
            <w:tcW w:w="20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February 25, 2026</w:t>
            </w:r>
          </w:p>
        </w:tc>
        <w:tc>
          <w:tcPr>
            <w:tcW w:w="6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09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/s/ </w:t>
            </w:r>
            <w:r>
              <w:rPr>
                <w:rFonts w:ascii="Times New Roman;Times;Serif" w:hAnsi="Times New Roman;Times;Serif"/>
                <w:i/>
                <w:sz w:val="20"/>
              </w:rPr>
              <w:t>Gang Li</w:t>
            </w:r>
          </w:p>
        </w:tc>
      </w:tr>
      <w:tr>
        <w:trPr/>
        <w:tc>
          <w:tcPr>
            <w:tcW w:w="200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Name:  </w:t>
            </w:r>
          </w:p>
        </w:tc>
        <w:tc>
          <w:tcPr>
            <w:tcW w:w="30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Gang Li</w:t>
            </w:r>
          </w:p>
        </w:tc>
      </w:tr>
      <w:tr>
        <w:trPr/>
        <w:tc>
          <w:tcPr>
            <w:tcW w:w="200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30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Executive Officer, Director, and</w:t>
              <w:br/>
              <w:t>Chairman of the Board of Directors</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838</Words>
  <Characters>4608</Characters>
  <CharactersWithSpaces>5454</CharactersWithSpaces>
  <Paragraphs>116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