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333-289600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Prospectus Dated September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142875</wp:posOffset>
            </wp:positionV>
            <wp:extent cx="1251585" cy="12515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1585" cy="12515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$219,375,000 Class A Ordinary Shares</w:t>
      </w:r>
    </w:p>
    <w:p>
      <w:pPr>
        <w:spacing w:after="0" w:line="22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 sales agreement (the “Sales Agreement”), with AC Sunshine Securities LLC (the “Sales Agent”) relating to the offer and sale of our Class A ordinary shares, of par value $0.08 per share (“Class A Ordinary Shares”) offered by this prospectus supplement and the accompanying prospectus. In accordance with the Sales Agreement, we may offer Class A Ordinary Shares, from time to time through or to the Sales Agent, acting as a sales agent or principal, having an aggregate offering price of up to $219,375,000.</w:t>
      </w:r>
    </w:p>
    <w:p>
      <w:pPr>
        <w:spacing w:after="0" w:line="180"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our Class A Ordinary Shares, if any, under this prospectus supplement and the accompanying prospectus will be made by any method permitted by applicable law deemed to be an “at the market offering” as defined in Rule 415 under the Securities Act of 1933, as amended (the “Securities Act”). Subject to the terms of the Sales Agreement, the Sales Agent will make all sales using commercially reasonable efforts consistent with their normal sales and trading practices on terms mutually agreed upon between the Sales Agent and us. There is no arrangement for funds to be received in an escrow, trust or similar arrangement.</w:t>
      </w:r>
    </w:p>
    <w:p>
      <w:pPr>
        <w:spacing w:after="0" w:line="183"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Sales Agent will be entitled to compensation at a fixed commission rate of 3.0% of the gross proceeds from each sale of our Class A Ordinary Shares through it pursuant to the Sales Agreement.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beginning on page S-10 for additional information regarding the compensation to be paid to the Sales Agent. In connection with the sale of the Class A Ordinary Shares on our behalf, the Sales Agent will be deemed to be “underwriters” within the meaning of the Securities Act, and the compensation of the Sales Agent will be deemed to be underwriting commissions or discounts. We have agreed to provide indemnification and contribution to the Sales Agent against certain civil liabilities, including liabilities under the Securities Act or the Securities Exchange Act of 1934, as amended, or the Exchange Act.</w:t>
      </w:r>
    </w:p>
    <w:p>
      <w:pPr>
        <w:spacing w:after="0" w:line="187"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supplement, the authorized share capital of the Company is US$165,000,000 divided into 2,055,000,000 Class A Ordinary Shares and 7,500,000 Class B ordinary shares of US$0.08 par value each (the “Class B Ordinary Shares”). Holders of Class A Ordinary Shares and Class B Ordinary Shares have the same rights except for voting and conversion rights as set forth in our amended and restated memorandum and articles of association, as amended and restated from time to time (the “Articles”). In respect of matters requiring a vote of all shareholders, each holder of Class A Ordinary Shares will be entitled to one (1) vote for each Class A Ordinary Share held and each holder of Class B Ordinary Shares will be entitled to fifty</w:t>
      </w:r>
    </w:p>
    <w:p>
      <w:pPr>
        <w:spacing w:after="0" w:line="3" w:lineRule="exact"/>
        <w:rPr>
          <w:sz w:val="24"/>
          <w:szCs w:val="24"/>
          <w:color w:val="auto"/>
        </w:rPr>
      </w:pPr>
    </w:p>
    <w:p>
      <w:pPr>
        <w:jc w:val="both"/>
        <w:ind w:firstLine="8"/>
        <w:spacing w:after="0" w:line="255" w:lineRule="auto"/>
        <w:tabs>
          <w:tab w:leader="none" w:pos="3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for each Class B Ordinary Share held. The Class B Ordinary Shares are convertible into Class A Ordinary Shares at any time after issuance at the option of the holder thereof on a one-for-one basis. As of the date of this prospectus supplement, we have 38,907,905 Class A Ordinary Shares and 70,875 Class B Ordinary Shares issued and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Ordinary Shares are listed on The Nasdaq Capital Market under the symbol “CHSN.” On January 6, 2026, the last reported sale price of our Class A Ordinary Shares on The Nasdaq Capital Market was US$2.10 per share.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and not a Chinese operating company. As a holding company with no material operations of our own, we conduct our operations through our subsidiaries in China and the U.S. and the VIEs in China. For accounting purposes, we control and receive the economic benefits of the VIEs through certain contractual arrangements (the “VIE Agreements”), which enable us to consolidate the financial results of the VIEs in our consolidated financial statements under generally accepted accounting principles in the U.S. (“U.S. GAAP”), and the structure involves unique risks to investors. The VIE structure provides contractual exposure to foreign investment in China-based companies. Chinese law, however, does not prohibit direct foreign investment in the VIEs. For a description of the VIE Agreements, see “</w:t>
      </w:r>
      <w:r>
        <w:rPr>
          <w:rFonts w:ascii="Times New Roman" w:cs="Times New Roman" w:eastAsia="Times New Roman" w:hAnsi="Times New Roman"/>
          <w:sz w:val="18"/>
          <w:szCs w:val="18"/>
          <w:i w:val="1"/>
          <w:iCs w:val="1"/>
          <w:color w:val="auto"/>
        </w:rPr>
        <w:t>Prospectus Summary—Our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Structure—The United Family Group</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Corporate History and Structure</w:t>
      </w:r>
      <w:r>
        <w:rPr>
          <w:rFonts w:ascii="Times New Roman" w:cs="Times New Roman" w:eastAsia="Times New Roman" w:hAnsi="Times New Roman"/>
          <w:sz w:val="18"/>
          <w:szCs w:val="18"/>
          <w:color w:val="auto"/>
        </w:rPr>
        <w:t>.” As a result of our use of the VIE structure, you may never directly 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interests in the VIEs.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do not directly hold equity interests in the VIEs, we are subject to risks and uncertainties of the interpretations and applications of PRC laws and regulations, including but not limited to, regulatory review of overseas listing of PRC companies through special purpose vehicles and the validity and enforcement of the VIE Agreements. We are also subject to the risks and uncertainties about any future actions of the PRC government in this regard that could disallow the VIE structure, which would likely result in a material change in our operations, and the value of our Class A Ordinary Shares may depreciate significantly or become worthless. The VIE Agreements have not been tested in a court of law in China as of the date of this prospectus. See “</w:t>
      </w:r>
      <w:r>
        <w:rPr>
          <w:rFonts w:ascii="Times New Roman" w:cs="Times New Roman" w:eastAsia="Times New Roman" w:hAnsi="Times New Roman"/>
          <w:sz w:val="18"/>
          <w:szCs w:val="18"/>
          <w:i w:val="1"/>
          <w:iCs w:val="1"/>
          <w:color w:val="auto"/>
        </w:rPr>
        <w:t>Item 3. Key Information—D. Risk Factors—Risks Relating to Our Corporate Structure—The VIE Agreements with the UFG Entities and the UFG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Operators may not be effective in providing control over the UFG Entities</w:t>
      </w:r>
      <w:r>
        <w:rPr>
          <w:rFonts w:ascii="Times New Roman" w:cs="Times New Roman" w:eastAsia="Times New Roman" w:hAnsi="Times New Roman"/>
          <w:sz w:val="18"/>
          <w:szCs w:val="18"/>
          <w:color w:val="auto"/>
        </w:rPr>
        <w:t>” in our 2024 Annual Report, which is incorporated by reference into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certain legal and operational risks associated with having the majority of our operations in China, which could cause the value of our securities to significantly decline or become worthless. PRC laws and regulations governing our current business operations are sometimes vague and uncertain, and as a result these risks may result in material changes in the operations of the VIEs, significant depreciation or a complete loss of the value of our Class A Ordinary Shares, or a complete hindrance of our ability to offer, or continue to offer, our securities to investors. Recently, the PRC government adopted a series of regulatory actions and issued statements to regulate business operations in China with little advance notice, including cracking down on illegal activities in the securities market, adopting new measures to extend the scope of cybersecurity reviews, and expanding the efforts in anti-monopoly enforcement. As of the date of this prospectus supplement, we, our PRC subsidiary, and the VIEs have not been involved in any investigations on cybersecurity review initiated by any PRC regulatory authority, nor has any of them received any inquiry, notice, or sanction. As confirmed by our PRC counsel, Beijing Dacheng Law Offices, LLP (Guangzhou) (“Dacheng”), we are not subject to cybersecurity review with the Cyberspace Administration of China (the “CAC”), under the Cybersecurity Review Measures that became effective on February 15, 2022, since we are not critical information infrastructure operator (“CIIO”) or online platform operator, and we currently do not have over one million users’ personal information and do not anticipate that we will be collecting over one million users’ personal information in the foreseeable future, which we understand might otherwise subject us to the Cybersecurity Review Measures. We have not been notified by relevant government departments or local authorities for data security assessment, and our data have not been publicly released as important data. Therefore, we do not need to declare our data for security assessment as important data to exit the country, under the Provisions on Regulating and Facilitating Cross-Border Data Flow that were promulgated by CAC and became effective on March 22, 2024. We are also not subject to network data security review by the CAC, since we currently do not conduct network data processing activities that affect or may affect national security, which we understand might otherwise subject us to the Regulation on Network Data Security Management. See “</w:t>
      </w:r>
      <w:r>
        <w:rPr>
          <w:rFonts w:ascii="Times New Roman" w:cs="Times New Roman" w:eastAsia="Times New Roman" w:hAnsi="Times New Roman"/>
          <w:sz w:val="18"/>
          <w:szCs w:val="18"/>
          <w:i w:val="1"/>
          <w:iCs w:val="1"/>
          <w:color w:val="auto"/>
        </w:rPr>
        <w:t>Item 3. Key Information—D. Risk Factors—Risks Relating to Doing Business in the PRC—Recent greater oversight by the CAC over data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particularly for companies seeking to list on a foreign exchange, could adversely impact our business and our offerings</w:t>
      </w:r>
      <w:r>
        <w:rPr>
          <w:rFonts w:ascii="Times New Roman" w:cs="Times New Roman" w:eastAsia="Times New Roman" w:hAnsi="Times New Roman"/>
          <w:sz w:val="18"/>
          <w:szCs w:val="18"/>
          <w:color w:val="auto"/>
        </w:rPr>
        <w:t>” in our 2024 Annual Report,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incorporated by reference into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7"/>
          <w:szCs w:val="17"/>
          <w:color w:val="auto"/>
        </w:rPr>
        <w:t>On February 17, 2023, the China Securities Regulatory Commission (the “CSRC”) promulgated the Trial Administrative Measures of Overseas Securities Offering and Listing by Domestic Companies, or the “Trial Measures,” and five supporting guidelines, which came into effect on March 31, 2023. As advised by Dacheng, we are required to complete necessary filing procedures pursuant to the Trial Measures within three working days after the completion of this offering. See “</w:t>
      </w:r>
      <w:r>
        <w:rPr>
          <w:rFonts w:ascii="Times New Roman" w:cs="Times New Roman" w:eastAsia="Times New Roman" w:hAnsi="Times New Roman"/>
          <w:sz w:val="17"/>
          <w:szCs w:val="17"/>
          <w:i w:val="1"/>
          <w:iCs w:val="1"/>
          <w:color w:val="auto"/>
        </w:rPr>
        <w:t>Item 3. Key Information—D. Risk Factors—Risks Relating to Doing Business in the PRC—The Opinions, the Trial Measures, and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revised Provisions recently issued by the PRC authorities may subject us to additional compliance requirements in the future</w:t>
      </w:r>
      <w:r>
        <w:rPr>
          <w:rFonts w:ascii="Times New Roman" w:cs="Times New Roman" w:eastAsia="Times New Roman" w:hAnsi="Times New Roman"/>
          <w:sz w:val="17"/>
          <w:szCs w:val="17"/>
          <w:color w:val="auto"/>
        </w:rPr>
        <w:t>” in our 2024 Annual Report,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is incorporated by reference into this prospectus supplement. Notwithstanding the foregoing, as of the date of this prospectus supplement, according to Dacheng, no relevant PRC laws or regulations in effect require that we obtain permission from any PRC authorities to issue securities to foreign investors, and we have not received any inquiry, notice, warning, sanction, or any regulatory objection to this offering from the CSRC, the CAC, or any other PRC authorities that have jurisdiction over our operations. Since these statements and regulatory actions are newly published, it is highly uncertain what the potential impact such modified or new laws and regulations will have on the daily business operations of our subsidiaries and the VIEs, our ability to accept foreign investments, and our listing on a U.S. stock exchange. The Standing Committee of the National People’s Congress (the “SCNPC”) or PRC regulatory authorities may in the future promulgate additional laws, regulations, or implementing rules that require us, our subsidiaries, or the VIEs to obtain regulatory approval from Chinese authorities before listing in the U.S. If we do not receive or maintain such approval, or inadvertently conclude that such approval is not required, or applicable laws, regulations, or interpretations change such that we are required to obtain approval in the future, we may be subject to an investigation by competent regulators, fines or penalties, or an order prohibiting us from conducting an offering, and these risks could result in a material adverse change in our operations and the value of our Class A Ordinary Shares, significantly limit or completely hinder our ability to offer or continue to offer securities to investors, or cause such securities to significantly decline in value or become worthless.</w:t>
      </w:r>
    </w:p>
    <w:p>
      <w:pPr>
        <w:spacing w:after="0" w:line="3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our Class A Ordinary Shares may be prohibited from trading on a national exchange or over-the-counter under the Holding Foreign Companies Accountable Act (the “HFCA Act”) if the Public Company Accounting Oversight Board (United States) (the “PCAOB”) is unable to inspect our auditors for three consecutive years beginning in 2021. Our auditor prior to September 29, 2022, Friedman LLP (“Friedman”), which combined with Marcum LLP effective September 1, 2022, and our auditor for the period between September 29, 2022 and July 9, 2023, Marcum Asia CPAs LLP (“Marcum Asia”), which is a subsidiary of Marcum LLP, had been inspected by the PCAOB on a regular basis in the audit periods, and our new auditor Assentsure PAC (“Assentsure”) since July 10, 2023, as an auditor of companies that are traded publicly in the United States and a firm registered with the PCAOB, is subject to laws in the United States pursuant to which the PCAOB conducts regular inspections to assess its compliance with the applicable professional standards. Assentsure is headquartered in Singapore, and is inspected by the PCAOB on a regular basis. None of the three auditors is subject to the determinations announced by the PCAOB on December 16, 2021. If trading in our Class A Ordinary Shares is prohibited under the HFCA Act in the future because the PCAOB determines that it cannot inspect or fully investigate our auditor at such future time, Nasdaq may determine to delist our Class A Ordinary Shares and trading in our Class A Ordinary Shares could be prohibited.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See “</w:t>
      </w:r>
      <w:r>
        <w:rPr>
          <w:rFonts w:ascii="Times New Roman" w:cs="Times New Roman" w:eastAsia="Times New Roman" w:hAnsi="Times New Roman"/>
          <w:sz w:val="18"/>
          <w:szCs w:val="18"/>
          <w:i w:val="1"/>
          <w:iCs w:val="1"/>
          <w:color w:val="auto"/>
        </w:rPr>
        <w:t>Item 3. Key Information—D.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Relating to Doing Business in the PRC—Joint statement by the SEC and the Public Company Accounting Oversight Board (United States) (the “PCAOB”), rule changes by Nasdaq, and the Holding Foreign Companies Accountable Act (the “HFCA Act”) all call for additional and more stringent criteria to be applied to emerging market companies upon assessing the qualification of their auditors, especially the non-U.S. auditors who are not inspected by the PCAOB. These developments could add uncertainties to our offerings</w:t>
      </w:r>
      <w:r>
        <w:rPr>
          <w:rFonts w:ascii="Times New Roman" w:cs="Times New Roman" w:eastAsia="Times New Roman" w:hAnsi="Times New Roman"/>
          <w:sz w:val="18"/>
          <w:szCs w:val="18"/>
          <w:color w:val="auto"/>
        </w:rPr>
        <w:t>” in our 2024 Annual Report, which is incorporated by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supplement, our Company, our subsidiaries, and the VIEs have not distributed any earnings or settled any amounts owed under the VIE Agreements. Our Company, our subsidiaries, and the VIEs do not have any plan to distribute earnings or settle amounts owed under the VIE Agreements in the foreseeable future. As of the date of this prospectus supplement, none of our subsidiaries or VIEs have made any dividends or distributions to our Company and our Company has not made any dividends or distributions to our shareholders. We intend to keep any future earnings to finance the expansion of our business, and we do not anticipate that any cash dividends will be paid in the foreseeable future. If we determine to pay dividends on any of our Class A Ordinary Shares or Class B Ordinary Shares in the future, as a holding company, we will depend on receipt of funds from our PRC subsidiary and from the VIEs to our PRC subsidiary in accordance with the VIE Agreements. See “</w:t>
      </w:r>
      <w:r>
        <w:rPr>
          <w:rFonts w:ascii="Times New Roman" w:cs="Times New Roman" w:eastAsia="Times New Roman" w:hAnsi="Times New Roman"/>
          <w:sz w:val="18"/>
          <w:szCs w:val="18"/>
          <w:i w:val="1"/>
          <w:iCs w:val="1"/>
          <w:color w:val="auto"/>
        </w:rPr>
        <w:t>Prospectus Summary—Dividends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Distributions Made to our Company and U.S. Investors and Tax Consequences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cash transfers and transfers of other assets that occurred among our Company, our subsidiaries, and the VIEs included the following intercompany borrowings, raw material transfers, and product transfers: (i) during the fiscal year ended December 31, 2024, Xinjiang United Family received raw materials from the VIEs in the approximate amount of $4,197,240, and transferred cash (as working capital), raw materials and products to the VIEs in the approximate amount of $661,983, $1,603,664, and $2,983,019, respectively; and (ii) during the fiscal year ended December 31, 2023, Xinjiang United Family received from the VIEs cash and raw materials in the approximate amount of $1,542,178 and $1,400,536, respectively, and transferred to the VIEs raw materials and products in the approximate amount of $1,845,098 and $3,413,933, respectively. For more detailed discussion of how cash and other assets are transferred among our Company, our subsidiaries, and the VIEs, see “</w:t>
      </w:r>
      <w:r>
        <w:rPr>
          <w:rFonts w:ascii="Times New Roman" w:cs="Times New Roman" w:eastAsia="Times New Roman" w:hAnsi="Times New Roman"/>
          <w:sz w:val="18"/>
          <w:szCs w:val="18"/>
          <w:i w:val="1"/>
          <w:iCs w:val="1"/>
          <w:color w:val="auto"/>
        </w:rPr>
        <w:t>Prospectus Summary—Asset Transfers Between Our Company,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Subsidiaries, and the VIEs,” “Prospectus Summary—Selected Condensed Consolidating Financial Schedule of Chanson International and Its Subsidiaries and the VIEs</w:t>
      </w:r>
      <w:r>
        <w:rPr>
          <w:rFonts w:ascii="Times New Roman" w:cs="Times New Roman" w:eastAsia="Times New Roman" w:hAnsi="Times New Roman"/>
          <w:sz w:val="18"/>
          <w:szCs w:val="18"/>
          <w:color w:val="auto"/>
        </w:rPr>
        <w:t>,” and our audited consolidated financial statements for the fiscal years ended December 31, 2024, 2023, and 2022 as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into this prospectus supplement. To the extent cash in the business is in the PRC, the funds may not be available to fund operations or for other use outside of the PRC due to interventions in or the imposition of restrictions and limitations on the ability of our Company, our subsidiaries, or the VIEs by the PRC government to transfer cash. See “</w:t>
      </w:r>
      <w:r>
        <w:rPr>
          <w:rFonts w:ascii="Times New Roman" w:cs="Times New Roman" w:eastAsia="Times New Roman" w:hAnsi="Times New Roman"/>
          <w:sz w:val="18"/>
          <w:szCs w:val="18"/>
          <w:i w:val="1"/>
          <w:iCs w:val="1"/>
          <w:color w:val="auto"/>
        </w:rPr>
        <w:t>Item 3. Key Information—D. Risk Factors—Risks Relating to Doing Business in the PRC—To the extent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the business is in the PRC or a PRC entity, the funds may not be available to fund operations or for other use outside of the PRC due to interventions in or the imposition of restrictions and limitations on the ability of our Company, our subsidiaries, or the VIEs by the PRC government to transfer cash</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2024 Annual Report, which is incorporated by reference into this prospectus supplement. Our management is directly supervising cash management. Our finance department is responsible for establishing the cash management policies and procedures among our departments and the operating entities. Each department or operating entity initiates a cash request by putting forward a cash demand plan, which explains the specific amount and timing of cash requested, and submitting it to designated management members of our Company, based on the amount and the use of cash requested. The designated management member examines and approves the allocation of cash based on the sources of cash and the priorities of the needs, and submit it to the cashier specialists of our finance department for a second review. Other than the above, as of the date of this prospectus supplement, we do not have other cash management policies or procedures that dictate how funds are transferred nor a written policy that addresses how we will handle any limitations on cash transfers due to PRC law.</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both an “emerging growth company” and a “foreign private issuer” as defined under the federal securities laws and will be subject to reduced public company reporting requirements. Please read the disclosures “Implications of Our Being an ‘Emerging Growth Company’” beginning on page S-3 of this prospectus supplement for more information.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Class A Ordinary Shares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S-6 of this prospectus supplement, page 15 of the accompanying prospectus and “</w:t>
      </w:r>
      <w:r>
        <w:rPr>
          <w:rFonts w:ascii="Times New Roman" w:cs="Times New Roman" w:eastAsia="Times New Roman" w:hAnsi="Times New Roman"/>
          <w:sz w:val="18"/>
          <w:szCs w:val="18"/>
          <w:b w:val="1"/>
          <w:bCs w:val="1"/>
          <w:i w:val="1"/>
          <w:iCs w:val="1"/>
          <w:color w:val="auto"/>
        </w:rPr>
        <w:t>Item 3. Key Information—D. Risk Factors</w:t>
      </w:r>
      <w:r>
        <w:rPr>
          <w:rFonts w:ascii="Times New Roman" w:cs="Times New Roman" w:eastAsia="Times New Roman" w:hAnsi="Times New Roman"/>
          <w:sz w:val="18"/>
          <w:szCs w:val="18"/>
          <w:b w:val="1"/>
          <w:bCs w:val="1"/>
          <w:color w:val="auto"/>
        </w:rPr>
        <w:t>” in the 2024 Annual Report.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nor any other regulatory body has approved or disapproved of these securities or determined if this prospectus supplement is truthful or complete. Any representation to the contrary is a criminal offense.</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AC Sunshine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156845</wp:posOffset>
            </wp:positionV>
            <wp:extent cx="934085" cy="608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3408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January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gridSpan w:val="3"/>
          </w:tcPr>
          <w:p>
            <w:pPr>
              <w:jc w:val="center"/>
              <w:ind w:right="4191"/>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432"/>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60" w:type="dxa"/>
            <w:vAlign w:val="bottom"/>
            <w:gridSpan w:val="3"/>
          </w:tcPr>
          <w:p>
            <w:pPr>
              <w:jc w:val="center"/>
              <w:ind w:right="4171"/>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r>
      <w:tr>
        <w:trPr>
          <w:trHeight w:val="439"/>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2500" w:type="dxa"/>
            <w:vAlign w:val="bottom"/>
            <w:tcBorders>
              <w:bottom w:val="single" w:sz="8" w:color="0000EE"/>
            </w:tcBorders>
            <w:gridSpan w:val="2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 Supplement</w:t>
            </w:r>
          </w:p>
        </w:tc>
        <w:tc>
          <w:tcPr>
            <w:tcW w:w="1780" w:type="dxa"/>
            <w:vAlign w:val="bottom"/>
            <w:tcBorders>
              <w:bottom w:val="single" w:sz="8" w:color="CCEEFF"/>
            </w:tcBorders>
            <w:gridSpan w:val="5"/>
            <w:shd w:val="clear" w:color="auto" w:fill="CCEEFF"/>
          </w:tcPr>
          <w:p>
            <w:pPr>
              <w:spacing w:after="0"/>
              <w:rPr>
                <w:sz w:val="17"/>
                <w:szCs w:val="17"/>
                <w:color w:val="auto"/>
              </w:rPr>
            </w:pPr>
          </w:p>
        </w:tc>
        <w:tc>
          <w:tcPr>
            <w:tcW w:w="5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S-ii</w:t>
            </w:r>
          </w:p>
        </w:tc>
      </w:tr>
      <w:tr>
        <w:trPr>
          <w:trHeight w:val="176"/>
        </w:trPr>
        <w:tc>
          <w:tcPr>
            <w:tcW w:w="42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Commonly Used Defined Terms</w:t>
            </w:r>
          </w:p>
        </w:tc>
        <w:tc>
          <w:tcPr>
            <w:tcW w:w="5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S-iii</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Cautionary Note Regarding Forward-Looking Statements</w:t>
            </w:r>
          </w:p>
        </w:tc>
        <w:tc>
          <w:tcPr>
            <w:tcW w:w="120" w:type="dxa"/>
            <w:vAlign w:val="bottom"/>
            <w:tcBorders>
              <w:bottom w:val="single" w:sz="8" w:color="CCEEFF"/>
            </w:tcBorders>
            <w:shd w:val="clear" w:color="auto" w:fill="CCEEFF"/>
          </w:tcPr>
          <w:p>
            <w:pPr>
              <w:spacing w:after="0"/>
              <w:rPr>
                <w:sz w:val="17"/>
                <w:szCs w:val="17"/>
                <w:color w:val="auto"/>
              </w:rPr>
            </w:pPr>
          </w:p>
        </w:tc>
        <w:tc>
          <w:tcPr>
            <w:tcW w:w="5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S-iv</w:t>
            </w:r>
          </w:p>
        </w:tc>
      </w:tr>
      <w:tr>
        <w:trPr>
          <w:trHeight w:val="175"/>
        </w:trPr>
        <w:tc>
          <w:tcPr>
            <w:tcW w:w="42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5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28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5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S-5</w:t>
            </w:r>
          </w:p>
        </w:tc>
      </w:tr>
      <w:tr>
        <w:trPr>
          <w:trHeight w:val="176"/>
        </w:trPr>
        <w:tc>
          <w:tcPr>
            <w:tcW w:w="94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340" w:type="dxa"/>
            <w:vAlign w:val="bottom"/>
            <w:tcBorders>
              <w:top w:val="single" w:sz="8" w:color="CCEEFF"/>
            </w:tcBorders>
            <w:gridSpan w:val="21"/>
          </w:tcPr>
          <w:p>
            <w:pPr>
              <w:spacing w:after="0"/>
              <w:rPr>
                <w:sz w:val="15"/>
                <w:szCs w:val="15"/>
                <w:color w:val="auto"/>
              </w:rPr>
            </w:pPr>
          </w:p>
        </w:tc>
        <w:tc>
          <w:tcPr>
            <w:tcW w:w="59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S-6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100" w:type="dxa"/>
            <w:vAlign w:val="bottom"/>
            <w:tcBorders>
              <w:bottom w:val="single" w:sz="8" w:color="CCEEFF"/>
            </w:tcBorders>
            <w:gridSpan w:val="19"/>
            <w:shd w:val="clear" w:color="auto" w:fill="CCEEFF"/>
          </w:tcPr>
          <w:p>
            <w:pPr>
              <w:spacing w:after="0"/>
              <w:rPr>
                <w:sz w:val="17"/>
                <w:szCs w:val="17"/>
                <w:color w:val="auto"/>
              </w:rPr>
            </w:pPr>
          </w:p>
        </w:tc>
        <w:tc>
          <w:tcPr>
            <w:tcW w:w="5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S-8</w:t>
            </w:r>
          </w:p>
        </w:tc>
      </w:tr>
      <w:tr>
        <w:trPr>
          <w:trHeight w:val="175"/>
        </w:trPr>
        <w:tc>
          <w:tcPr>
            <w:tcW w:w="42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5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S-9</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2840" w:type="dxa"/>
            <w:vAlign w:val="bottom"/>
            <w:tcBorders>
              <w:bottom w:val="single" w:sz="8" w:color="CCEEFF"/>
            </w:tcBorders>
            <w:gridSpan w:val="16"/>
            <w:shd w:val="clear" w:color="auto" w:fill="CCEEFF"/>
          </w:tcPr>
          <w:p>
            <w:pPr>
              <w:spacing w:after="0"/>
              <w:rPr>
                <w:sz w:val="17"/>
                <w:szCs w:val="17"/>
                <w:color w:val="auto"/>
              </w:rPr>
            </w:pPr>
          </w:p>
        </w:tc>
        <w:tc>
          <w:tcPr>
            <w:tcW w:w="5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175"/>
        </w:trPr>
        <w:tc>
          <w:tcPr>
            <w:tcW w:w="42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5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3720" w:type="dxa"/>
            <w:vAlign w:val="bottom"/>
            <w:tcBorders>
              <w:bottom w:val="single" w:sz="8" w:color="CCEEFF"/>
            </w:tcBorders>
            <w:gridSpan w:val="26"/>
            <w:shd w:val="clear" w:color="auto" w:fill="CCEEFF"/>
          </w:tcPr>
          <w:p>
            <w:pPr>
              <w:spacing w:after="0"/>
              <w:rPr>
                <w:sz w:val="17"/>
                <w:szCs w:val="17"/>
                <w:color w:val="auto"/>
              </w:rPr>
            </w:pPr>
          </w:p>
        </w:tc>
        <w:tc>
          <w:tcPr>
            <w:tcW w:w="5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176"/>
        </w:trPr>
        <w:tc>
          <w:tcPr>
            <w:tcW w:w="42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5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28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5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432"/>
        </w:trPr>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960" w:type="dxa"/>
            <w:vAlign w:val="bottom"/>
            <w:tcBorders>
              <w:top w:val="single" w:sz="8" w:color="CCEEFF"/>
            </w:tcBorders>
            <w:gridSpan w:val="3"/>
          </w:tcPr>
          <w:p>
            <w:pPr>
              <w:jc w:val="center"/>
              <w:ind w:right="4191"/>
              <w:spacing w:after="0"/>
              <w:rPr>
                <w:sz w:val="20"/>
                <w:szCs w:val="20"/>
                <w:color w:val="auto"/>
              </w:rPr>
            </w:pPr>
            <w:r>
              <w:rPr>
                <w:rFonts w:ascii="Times New Roman" w:cs="Times New Roman" w:eastAsia="Times New Roman" w:hAnsi="Times New Roman"/>
                <w:sz w:val="18"/>
                <w:szCs w:val="18"/>
                <w:b w:val="1"/>
                <w:bCs w:val="1"/>
                <w:color w:val="auto"/>
              </w:rPr>
              <w:t>PROSPECTUS</w:t>
            </w:r>
          </w:p>
        </w:tc>
      </w:tr>
      <w:tr>
        <w:trPr>
          <w:trHeight w:val="439"/>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9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62"/>
        </w:trPr>
        <w:tc>
          <w:tcPr>
            <w:tcW w:w="4280" w:type="dxa"/>
            <w:vAlign w:val="bottom"/>
            <w:gridSpan w:val="27"/>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w:t>
            </w:r>
          </w:p>
        </w:tc>
        <w:tc>
          <w:tcPr>
            <w:tcW w:w="5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34"/>
        </w:trPr>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9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r>
        <w:trPr>
          <w:trHeight w:val="175"/>
        </w:trPr>
        <w:tc>
          <w:tcPr>
            <w:tcW w:w="42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Commonly Used Defined Terms</w:t>
            </w:r>
          </w:p>
        </w:tc>
        <w:tc>
          <w:tcPr>
            <w:tcW w:w="5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1"/>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Cautionary Note Regarding Forward-Looking Statements</w:t>
            </w:r>
          </w:p>
        </w:tc>
        <w:tc>
          <w:tcPr>
            <w:tcW w:w="120" w:type="dxa"/>
            <w:vAlign w:val="bottom"/>
            <w:tcBorders>
              <w:bottom w:val="single" w:sz="8" w:color="CCEEFF"/>
            </w:tcBorders>
            <w:shd w:val="clear" w:color="auto" w:fill="CCEEFF"/>
          </w:tcPr>
          <w:p>
            <w:pPr>
              <w:spacing w:after="0"/>
              <w:rPr>
                <w:sz w:val="17"/>
                <w:szCs w:val="17"/>
                <w:color w:val="auto"/>
              </w:rPr>
            </w:pPr>
          </w:p>
        </w:tc>
        <w:tc>
          <w:tcPr>
            <w:tcW w:w="5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176"/>
        </w:trPr>
        <w:tc>
          <w:tcPr>
            <w:tcW w:w="42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960" w:type="dxa"/>
            <w:vAlign w:val="bottom"/>
            <w:gridSpan w:val="3"/>
          </w:tcPr>
          <w:p>
            <w:pPr>
              <w:jc w:val="center"/>
              <w:ind w:left="58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3360" w:type="dxa"/>
            <w:vAlign w:val="bottom"/>
            <w:tcBorders>
              <w:bottom w:val="single" w:sz="8" w:color="CCEEFF"/>
            </w:tcBorders>
            <w:gridSpan w:val="22"/>
            <w:shd w:val="clear" w:color="auto" w:fill="CCEEFF"/>
          </w:tcPr>
          <w:p>
            <w:pPr>
              <w:spacing w:after="0"/>
              <w:rPr>
                <w:sz w:val="17"/>
                <w:szCs w:val="17"/>
                <w:color w:val="auto"/>
              </w:rPr>
            </w:pPr>
          </w:p>
        </w:tc>
        <w:tc>
          <w:tcPr>
            <w:tcW w:w="6960" w:type="dxa"/>
            <w:vAlign w:val="bottom"/>
            <w:tcBorders>
              <w:bottom w:val="single" w:sz="8" w:color="CCEEFF"/>
            </w:tcBorders>
            <w:gridSpan w:val="3"/>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175"/>
        </w:trPr>
        <w:tc>
          <w:tcPr>
            <w:tcW w:w="42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6960" w:type="dxa"/>
            <w:vAlign w:val="bottom"/>
            <w:gridSpan w:val="3"/>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Capitalization</w:t>
            </w:r>
          </w:p>
        </w:tc>
        <w:tc>
          <w:tcPr>
            <w:tcW w:w="3260" w:type="dxa"/>
            <w:vAlign w:val="bottom"/>
            <w:tcBorders>
              <w:bottom w:val="single" w:sz="8" w:color="CCEEFF"/>
            </w:tcBorders>
            <w:gridSpan w:val="20"/>
            <w:shd w:val="clear" w:color="auto" w:fill="CCEEFF"/>
          </w:tcPr>
          <w:p>
            <w:pPr>
              <w:spacing w:after="0"/>
              <w:rPr>
                <w:sz w:val="17"/>
                <w:szCs w:val="17"/>
                <w:color w:val="auto"/>
              </w:rPr>
            </w:pPr>
          </w:p>
        </w:tc>
        <w:tc>
          <w:tcPr>
            <w:tcW w:w="6960" w:type="dxa"/>
            <w:vAlign w:val="bottom"/>
            <w:tcBorders>
              <w:bottom w:val="single" w:sz="8" w:color="CCEEFF"/>
            </w:tcBorders>
            <w:gridSpan w:val="3"/>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5"/>
        </w:trPr>
        <w:tc>
          <w:tcPr>
            <w:tcW w:w="42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960" w:type="dxa"/>
            <w:vAlign w:val="bottom"/>
            <w:gridSpan w:val="3"/>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100" w:type="dxa"/>
            <w:vAlign w:val="bottom"/>
            <w:tcBorders>
              <w:bottom w:val="single" w:sz="8" w:color="CCEEFF"/>
            </w:tcBorders>
            <w:gridSpan w:val="19"/>
            <w:shd w:val="clear" w:color="auto" w:fill="CCEEFF"/>
          </w:tcPr>
          <w:p>
            <w:pPr>
              <w:spacing w:after="0"/>
              <w:rPr>
                <w:sz w:val="17"/>
                <w:szCs w:val="17"/>
                <w:color w:val="auto"/>
              </w:rPr>
            </w:pPr>
          </w:p>
        </w:tc>
        <w:tc>
          <w:tcPr>
            <w:tcW w:w="6960" w:type="dxa"/>
            <w:vAlign w:val="bottom"/>
            <w:tcBorders>
              <w:bottom w:val="single" w:sz="8" w:color="CCEEFF"/>
            </w:tcBorders>
            <w:gridSpan w:val="3"/>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5"/>
        </w:trPr>
        <w:tc>
          <w:tcPr>
            <w:tcW w:w="42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6960" w:type="dxa"/>
            <w:vAlign w:val="bottom"/>
            <w:gridSpan w:val="3"/>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74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2540" w:type="dxa"/>
            <w:vAlign w:val="bottom"/>
            <w:tcBorders>
              <w:bottom w:val="single" w:sz="8" w:color="CCEEFF"/>
            </w:tcBorders>
            <w:gridSpan w:val="10"/>
            <w:shd w:val="clear" w:color="auto" w:fill="CCEEFF"/>
          </w:tcPr>
          <w:p>
            <w:pPr>
              <w:spacing w:after="0"/>
              <w:rPr>
                <w:sz w:val="17"/>
                <w:szCs w:val="17"/>
                <w:color w:val="auto"/>
              </w:rPr>
            </w:pPr>
          </w:p>
        </w:tc>
        <w:tc>
          <w:tcPr>
            <w:tcW w:w="6960" w:type="dxa"/>
            <w:vAlign w:val="bottom"/>
            <w:tcBorders>
              <w:bottom w:val="single" w:sz="8" w:color="CCEEFF"/>
            </w:tcBorders>
            <w:gridSpan w:val="3"/>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6"/>
        </w:trPr>
        <w:tc>
          <w:tcPr>
            <w:tcW w:w="42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6960" w:type="dxa"/>
            <w:vAlign w:val="bottom"/>
            <w:gridSpan w:val="3"/>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4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Units</w:t>
            </w:r>
          </w:p>
        </w:tc>
        <w:tc>
          <w:tcPr>
            <w:tcW w:w="2800" w:type="dxa"/>
            <w:vAlign w:val="bottom"/>
            <w:tcBorders>
              <w:bottom w:val="single" w:sz="8" w:color="CCEEFF"/>
            </w:tcBorders>
            <w:gridSpan w:val="15"/>
            <w:shd w:val="clear" w:color="auto" w:fill="CCEEFF"/>
          </w:tcPr>
          <w:p>
            <w:pPr>
              <w:spacing w:after="0"/>
              <w:rPr>
                <w:sz w:val="17"/>
                <w:szCs w:val="17"/>
                <w:color w:val="auto"/>
              </w:rPr>
            </w:pPr>
          </w:p>
        </w:tc>
        <w:tc>
          <w:tcPr>
            <w:tcW w:w="6960" w:type="dxa"/>
            <w:vAlign w:val="bottom"/>
            <w:tcBorders>
              <w:bottom w:val="single" w:sz="8" w:color="CCEEFF"/>
            </w:tcBorders>
            <w:gridSpan w:val="3"/>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5"/>
        </w:trPr>
        <w:tc>
          <w:tcPr>
            <w:tcW w:w="42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960" w:type="dxa"/>
            <w:vAlign w:val="bottom"/>
            <w:gridSpan w:val="3"/>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Taxation</w:t>
            </w:r>
          </w:p>
        </w:tc>
        <w:tc>
          <w:tcPr>
            <w:tcW w:w="3640" w:type="dxa"/>
            <w:vAlign w:val="bottom"/>
            <w:tcBorders>
              <w:bottom w:val="single" w:sz="8" w:color="CCEEFF"/>
            </w:tcBorders>
            <w:gridSpan w:val="24"/>
            <w:shd w:val="clear" w:color="auto" w:fill="CCEEFF"/>
          </w:tcPr>
          <w:p>
            <w:pPr>
              <w:spacing w:after="0"/>
              <w:rPr>
                <w:sz w:val="17"/>
                <w:szCs w:val="17"/>
                <w:color w:val="auto"/>
              </w:rPr>
            </w:pPr>
          </w:p>
        </w:tc>
        <w:tc>
          <w:tcPr>
            <w:tcW w:w="6960" w:type="dxa"/>
            <w:vAlign w:val="bottom"/>
            <w:tcBorders>
              <w:bottom w:val="single" w:sz="8" w:color="CCEEFF"/>
            </w:tcBorders>
            <w:gridSpan w:val="3"/>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5"/>
        </w:trPr>
        <w:tc>
          <w:tcPr>
            <w:tcW w:w="42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Selling Shareholders</w:t>
            </w:r>
          </w:p>
        </w:tc>
        <w:tc>
          <w:tcPr>
            <w:tcW w:w="6960" w:type="dxa"/>
            <w:vAlign w:val="bottom"/>
            <w:gridSpan w:val="3"/>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428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Expenses</w:t>
            </w:r>
          </w:p>
        </w:tc>
        <w:tc>
          <w:tcPr>
            <w:tcW w:w="6960" w:type="dxa"/>
            <w:vAlign w:val="bottom"/>
            <w:gridSpan w:val="3"/>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2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Material Contracts</w:t>
            </w:r>
          </w:p>
        </w:tc>
        <w:tc>
          <w:tcPr>
            <w:tcW w:w="6960" w:type="dxa"/>
            <w:vAlign w:val="bottom"/>
            <w:gridSpan w:val="3"/>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428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Changes</w:t>
            </w:r>
          </w:p>
        </w:tc>
        <w:tc>
          <w:tcPr>
            <w:tcW w:w="6960" w:type="dxa"/>
            <w:vAlign w:val="bottom"/>
            <w:gridSpan w:val="3"/>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5"/>
        </w:trPr>
        <w:tc>
          <w:tcPr>
            <w:tcW w:w="128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3000" w:type="dxa"/>
            <w:vAlign w:val="bottom"/>
            <w:tcBorders>
              <w:top w:val="single" w:sz="8" w:color="CCEEFF"/>
            </w:tcBorders>
            <w:gridSpan w:val="18"/>
          </w:tcPr>
          <w:p>
            <w:pPr>
              <w:spacing w:after="0"/>
              <w:rPr>
                <w:sz w:val="15"/>
                <w:szCs w:val="15"/>
                <w:color w:val="auto"/>
              </w:rPr>
            </w:pPr>
          </w:p>
        </w:tc>
        <w:tc>
          <w:tcPr>
            <w:tcW w:w="6960" w:type="dxa"/>
            <w:vAlign w:val="bottom"/>
            <w:tcBorders>
              <w:top w:val="single" w:sz="8" w:color="CCEEFF"/>
            </w:tcBorders>
            <w:gridSpan w:val="3"/>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3720" w:type="dxa"/>
            <w:vAlign w:val="bottom"/>
            <w:tcBorders>
              <w:bottom w:val="single" w:sz="8" w:color="CCEEFF"/>
            </w:tcBorders>
            <w:gridSpan w:val="26"/>
            <w:shd w:val="clear" w:color="auto" w:fill="CCEEFF"/>
          </w:tcPr>
          <w:p>
            <w:pPr>
              <w:spacing w:after="0"/>
              <w:rPr>
                <w:sz w:val="17"/>
                <w:szCs w:val="17"/>
                <w:color w:val="auto"/>
              </w:rPr>
            </w:pPr>
          </w:p>
        </w:tc>
        <w:tc>
          <w:tcPr>
            <w:tcW w:w="6960" w:type="dxa"/>
            <w:vAlign w:val="bottom"/>
            <w:tcBorders>
              <w:bottom w:val="single" w:sz="8" w:color="CCEEFF"/>
            </w:tcBorders>
            <w:gridSpan w:val="3"/>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5"/>
        </w:trPr>
        <w:tc>
          <w:tcPr>
            <w:tcW w:w="42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6960" w:type="dxa"/>
            <w:vAlign w:val="bottom"/>
            <w:gridSpan w:val="3"/>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Additional Information</w:t>
            </w:r>
          </w:p>
        </w:tc>
        <w:tc>
          <w:tcPr>
            <w:tcW w:w="1020" w:type="dxa"/>
            <w:vAlign w:val="bottom"/>
            <w:tcBorders>
              <w:bottom w:val="single" w:sz="8" w:color="CCEEFF"/>
            </w:tcBorders>
            <w:gridSpan w:val="2"/>
            <w:shd w:val="clear" w:color="auto" w:fill="CCEEFF"/>
          </w:tcPr>
          <w:p>
            <w:pPr>
              <w:spacing w:after="0"/>
              <w:rPr>
                <w:sz w:val="17"/>
                <w:szCs w:val="17"/>
                <w:color w:val="auto"/>
              </w:rPr>
            </w:pPr>
          </w:p>
        </w:tc>
        <w:tc>
          <w:tcPr>
            <w:tcW w:w="6960" w:type="dxa"/>
            <w:vAlign w:val="bottom"/>
            <w:tcBorders>
              <w:bottom w:val="single" w:sz="8" w:color="CCEEFF"/>
            </w:tcBorders>
            <w:gridSpan w:val="3"/>
            <w:shd w:val="clear" w:color="auto" w:fill="CCEEFF"/>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5"/>
        </w:trPr>
        <w:tc>
          <w:tcPr>
            <w:tcW w:w="2420" w:type="dxa"/>
            <w:vAlign w:val="bottom"/>
            <w:tcBorders>
              <w:bottom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w w:val="99"/>
              </w:rPr>
              <w:t>Enforceability of Civil Liabilities</w:t>
            </w:r>
          </w:p>
        </w:tc>
        <w:tc>
          <w:tcPr>
            <w:tcW w:w="1860" w:type="dxa"/>
            <w:vAlign w:val="bottom"/>
            <w:gridSpan w:val="7"/>
          </w:tcPr>
          <w:p>
            <w:pPr>
              <w:spacing w:after="0"/>
              <w:rPr>
                <w:sz w:val="15"/>
                <w:szCs w:val="15"/>
                <w:color w:val="auto"/>
              </w:rPr>
            </w:pPr>
          </w:p>
        </w:tc>
        <w:tc>
          <w:tcPr>
            <w:tcW w:w="6960" w:type="dxa"/>
            <w:vAlign w:val="bottom"/>
            <w:gridSpan w:val="3"/>
          </w:tcPr>
          <w:p>
            <w:pPr>
              <w:jc w:val="center"/>
              <w:ind w:left="589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bl>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supplement or the accompanying prospectus. We have not authorized any person to provide you with different or additional information. If anyone provides you with different or inconsistent information, you should not rely on it. This prospectus is not an offer to sell securities, and it is not soliciting an offer to buy securities in any jurisdiction where the offer or sale is not permitted. You should assume that the information appearing in this prospectus supplement or the accompanying prospectus, as well as information we have previously filed with the SEC and incorporated by reference, is accurate as of the date on the front of those documents only. Our business, financial condition, results of operations and prospects may have changed since those dates.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filed with the SEC a registration statement on Form F-3 (File No. 333-289600) initially on September 16, 2025, utilizing a shelf registration process relating to the securities described in this prospectus supplement, which registration statement was declared effective by the SEC on September 30, 2025. Under this shelf registration process, we may, from time to time, in one or more offerings, offer and sell up to US$300,000,000 of any combination, together or separately, of our Class A ordinary shares of US$0.08 par value each (the “Class A Ordinary Shares), debt securities, warrants, rights, and units, or any combination thereof as described in the accompanying prospectus.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and also adds to and updates information contained in the accompanying prospectus and the documents incorporated by reference into the prospectus supplement. The second part, the accompanying prospectus, gives more general information, some of which does not apply to this offering. You should read this entire prospectus supplement as well as the accompanying prospectus and the documents incorporated by reference that are described under “</w:t>
      </w:r>
      <w:r>
        <w:rPr>
          <w:rFonts w:ascii="Times New Roman" w:cs="Times New Roman" w:eastAsia="Times New Roman" w:hAnsi="Times New Roman"/>
          <w:sz w:val="18"/>
          <w:szCs w:val="18"/>
          <w:i w:val="1"/>
          <w:iCs w:val="1"/>
          <w:color w:val="auto"/>
        </w:rPr>
        <w:t>Incorporation of Documents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in this prospectus supplement and the accompanying prospectus.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description of the offering varies between this prospectus supplement and the accompanying prospectus, you should rely on the information contained in this prospectus supplement. However, if any statement in one of these documents is inconsistent with a statement in another document having a later date—for example, a document incorporated by reference in this prospectus supplement and the accompanying prospectus—the statement in the document having the later date modifies or supersedes the earlier statement. Except as specifically stated, we are not incorporating by reference any information submitted under any Report of Foreign Private Issuer on Form 6-K into this prospectus supplement or the accompanying prospectus.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or deemed to be incorporated by reference, into this prospectus supplement or the accompanying prospectus will be deemed to be modified or superseded for purposes of this prospectus supplement or the accompanying prospectus to the extent that a statement contained herein, therein or in any other subsequently filed document which also is incorporated by reference in this prospectus supplement or the accompanying prospectus modifies or supersedes that statement. Any such statement so modified or superseded will not be deemed, except as so modified or superseded, to constitute a part of this prospectus supplement or the accompanying prospectus.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supplement and the accompanying prospectus were made solely for the benefit of the parties to such agreement, including, in some cases, for the purpose of allocating risk among the parties to such agreements, and should not be deemed to be a representation, warranty or covenant to you unless you are a party to such agreement. Moreover, such representations, warranties, or covenants were accurate only as of the date when made or expressly referenced therein. Accordingly, such representations, warranties, and covenants should not be relied on as accurately representing the current state of our affairs unless you are a party to such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COMMONLY USED DEFINED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or the context requires otherwise, references in this prospectus supplement to:</w:t>
      </w:r>
    </w:p>
    <w:p>
      <w:pPr>
        <w:spacing w:after="0" w:line="225"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“Chanson 23rd Street” are to Chanson 23rd Street LLC, a New York limited liability company, which is wholly owned by Chanson NY (as defined below);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“Chanson 3rd Ave” are to Chanson 1293 3rd Ave LLC, a New York limited liability company, which is wholly owned by Chanson 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“Chanson Broadway” are to Chanson 2040 Broadway LLC, a New York limited liability company, which is wholly owned by Chanson NY;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“Chanson Greenwich” are to Chanson 355 Greenwich LLC, a New York limited liability company, which was wholly owned by Chanson NY and dissolved on August 28,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“Chanson International,” “we,” “us,” “our Company,” or the “Company” are to Chanson International Holding, an exempted company with limited liability incorporated and registered under the laws of the Cayman Islands;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“Chanson NY” are to George Chanson (NY) Corp., a New York corporation, which is wholly owned by Xinjiang United Family (as defined below);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are to the People’s Republic of China;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to Class A ordinary shares of Chanson International of US$0.08 par value each;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to Class B ordinary shares of Chanson International of US$0.08 par value each;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“Deen Global” are to our wholly owned subsidiary, Deen Global Limited, a British Virgin Islands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“Jenyd” are to Deen Global’s wholly owned subsidiary, Jenyd Holdings Limited, a Hong Kong corporation;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or “Ordinary Shares” are to Class A Ordinary Shares and Class B Ordinary Shares, collectively;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entities” are to Xinjiang United Family and its branch offices, the VIEs, and the U.S. Stores (as defined below);</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Stores” are to a bakery chain consisting of 55 stores in business operated by Xinjiang United Family and the VIEs under our “George ChansonTM” brand in Xinjiang;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Stores” are to Chanson 23rd Street, Chanson Broadway and Chanson 3rd Ave;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are to generally accepted accounting principles in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 are to variable interest entity;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“Xinjiang” are to the Xinjiang Uygur Autonomous Region of the PRC;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“Xinjiang United Family” or “our PRC subsidiary” are to Xinjiang United Family Trading Co., Ltd., a limited liability company organized under the laws of the PRC, which is wholly owned by Jenyd.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our SEC filings that are incorporated by reference into this prospectus supplement contain or incorporate by reference forward-looking statements within the meaning of Section 27A of the Securities Act and Section 21E of the Exchange Act. Many of the forward-looking statements contained in this prospectus supplement can be identified by the use of forward-looking words such as “anticipate,” “believe,” “could,” “expect,” “should,” “plan,” “intend,” “estimate,” and “potential,” among others.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prospectus supplement, the accompanying prospectus, and our SEC filings that are incorporated by reference into this prospectus supplement. These forward-looking statements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w:t>
      </w:r>
      <w:r>
        <w:rPr>
          <w:rFonts w:ascii="Times New Roman" w:cs="Times New Roman" w:eastAsia="Times New Roman" w:hAnsi="Times New Roman"/>
          <w:sz w:val="18"/>
          <w:szCs w:val="18"/>
          <w:i w:val="1"/>
          <w:iCs w:val="1"/>
          <w:color w:val="auto"/>
        </w:rPr>
        <w:t>Item 3. 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Information—D. Risk Factors</w:t>
      </w:r>
      <w:r>
        <w:rPr>
          <w:rFonts w:ascii="Times New Roman" w:cs="Times New Roman" w:eastAsia="Times New Roman" w:hAnsi="Times New Roman"/>
          <w:sz w:val="18"/>
          <w:szCs w:val="18"/>
          <w:color w:val="auto"/>
        </w:rPr>
        <w:t>” in the 2024 Annual Report,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S-6 of this prospectus supplement,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15 of the accompanying prospectus.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 except as, and to the extent required by, applicable securities 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184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6184900"/>
                    </a:xfrm>
                    <a:prstGeom prst="rect">
                      <a:avLst/>
                    </a:prstGeom>
                    <a:noFill/>
                  </pic:spPr>
                </pic:pic>
              </a:graphicData>
            </a:graphic>
          </wp:anchor>
        </w:drawing>
        <w:t>PROSPECTUS SUPPLEMENT SUMMARY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and should be read in conjunction with, the more detailed information contained elsewhere in this prospectus supplement, the accompanying prospectus, and the documents incorporated therein by reference. You should read carefully the entirety of these documents, including our financial statements and related notes, to understand our business, the ordinary shares, and the other considerations that are important to your decision to invest in our securities. You should pay special attention to the “Risk Factors” sections beginning on page S-6 of this prospectus supplement and on page 15 of the accompanying prospectus as well as “Item 3. Key Information—D. Risk Factors” in the 2024 Annual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and not a Chinese operating company. As of the date of this prospectus supplement, as a holding company with no material operations of our own, we conduct our business through:</w:t>
      </w:r>
    </w:p>
    <w:p>
      <w:pPr>
        <w:spacing w:after="0" w:line="162" w:lineRule="exact"/>
        <w:rPr>
          <w:sz w:val="20"/>
          <w:szCs w:val="20"/>
          <w:color w:val="auto"/>
        </w:rPr>
      </w:pPr>
    </w:p>
    <w:p>
      <w:pPr>
        <w:jc w:val="both"/>
        <w:ind w:left="640" w:right="20" w:hanging="324"/>
        <w:spacing w:after="0" w:line="253"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association between Xinjiang United Family and the VIEs known as the “United Family Group” or “UFG”: 53 of the entities that comprise UFG (each a “UFG Entity” and, collectively, the “UFG Entities”) are owned independently by the chairman of our board of directors (“the Chairman”), Mr. Gang Li, and two of the entities are owned independently by Ms. Hui Wang, the Marketing Director of Xinjiang United Family. Mr. Gang Li and Ms. Hui Wang are referred herein individually as a “UFG Operator” and collectively as the “UFG Operators.” For accounting purposes, we control and receive the economic benefits of the UFG Entities through the VIE Agreements, which enable us to consolidate the financial results of the VIEs in our consolidated financial statements under U.S. GAAP, and the structure involves unique risks to investors. For more details on the United Family Group, please see “</w:t>
      </w:r>
      <w:r>
        <w:rPr>
          <w:rFonts w:ascii="Times New Roman" w:cs="Times New Roman" w:eastAsia="Times New Roman" w:hAnsi="Times New Roman"/>
          <w:sz w:val="18"/>
          <w:szCs w:val="18"/>
          <w:i w:val="1"/>
          <w:iCs w:val="1"/>
          <w:color w:val="auto"/>
        </w:rPr>
        <w:t>—The United Family Group</w:t>
      </w:r>
      <w:r>
        <w:rPr>
          <w:rFonts w:ascii="Times New Roman" w:cs="Times New Roman" w:eastAsia="Times New Roman" w:hAnsi="Times New Roman"/>
          <w:sz w:val="18"/>
          <w:szCs w:val="18"/>
          <w:color w:val="auto"/>
        </w:rPr>
        <w:t>.” Our Class A Ordinary Shares are of Chanson International, the offshore holding company incorporated under the laws of the Cayman Islands, instead of shares of Xinjiang United Family or the UFG Entities. The VIE structure provides contractual exposure to foreign investment in China-based companies. Chinese law, however, does not prohibit direct foreign investment in the VIEs. As a result of our use of the VIE structure, investors may never directly hold equity interests in the UFG Entities;</w:t>
      </w:r>
    </w:p>
    <w:p>
      <w:pPr>
        <w:spacing w:after="0" w:line="19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Xinjiang United Family and its three branches; and</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Chanson 23rd Street, Chanson 3rd Ave and Chanson Broadway.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5, 2025, we entered into a securities purchase agreement (the “Securities Purchase Agreement”) with certain investors for a private placement offering (the “November 2025 Private Placement”) of 37,500,000 Class A Ordinary Shares at the subscription price of US$0.80 per Class A Ordinary Share. The investors have agreed to a one-year lock-up restrictions with the Company. The November 2025 Private Placement was consummated in November 2025 and the share issuance was completed on November 18, 2025. We intend to use the proceeds from the November 2025 Private Placement for expanding manufacturing capacities, opening new stores and other general corporate purposes.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16, 2025, up to 37,500,000 Class A Ordinary Shares that were issued in the November 2025 Private Placement were registered for resale by the selling shareholders described therein pursuant to the prospectus supplement dated as of December 16, 2025 and the accompanying prospectus dated as of September 30, 2025 under the registration statement on F-3 (File No. 33-289600) initially filed on September 16, 2025 and declared effective by the SEC on September 30,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9" w:name="page10"/>
    <w:bookmarkEnd w:id="9"/>
    <w:p>
      <w:pPr>
        <w:ind w:left="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547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7547610"/>
                    </a:xfrm>
                    <a:prstGeom prst="rect">
                      <a:avLst/>
                    </a:prstGeom>
                    <a:noFill/>
                  </pic:spPr>
                </pic:pic>
              </a:graphicData>
            </a:graphic>
          </wp:anchor>
        </w:drawing>
        <w:t>The following diagram illustrates our corporate structure as of the date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Notes: All percentages reflect the voting ownership interests instead of the equity interests held by each of our shareholders given that each holder of Class B Ordinary Shares will be entitled to 50 votes for each Class B Ordinary Share held and each holder of Class A Ordinary Shares will be entitled to one vote for each Class A Ordinary Share. held.</w:t>
      </w:r>
    </w:p>
    <w:p>
      <w:pPr>
        <w:spacing w:after="0" w:line="176" w:lineRule="exact"/>
        <w:rPr>
          <w:sz w:val="20"/>
          <w:szCs w:val="20"/>
          <w:color w:val="auto"/>
        </w:rPr>
      </w:pPr>
    </w:p>
    <w:p>
      <w:pPr>
        <w:ind w:left="328" w:right="20"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33,750 Class A Ordinary Shares and 70,875 Class B Ordinary Shares beneficially owned by Gang Li, the 100% owner of Danton Global Limited, as of the date of this prospectus supplement.</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3,375 Class A Ordinary Shares beneficially owned by Jihong Cai, the 100% owner of Haily Global Limited, as of the date of this prospectus supplement.</w:t>
      </w:r>
    </w:p>
    <w:p>
      <w:pPr>
        <w:spacing w:after="0" w:line="15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8"/>
          <w:szCs w:val="18"/>
          <w:color w:val="auto"/>
        </w:rPr>
        <w:t>The PRC Stores and the U.S. Stores manufacture and sell a wide selection of bakery products, seasonal products (i.e. products sold during particular holiday seasons), and beverage products; some of these stores also offer eat-in services. The PRC Stores and the U.S. Stores currently focus their business in Xinjiang of the PRC and New York City, respectively. The PRC Stores and the U.S. Stores aim to make healthy, nutritious, and ready-to-eat food through advanced facilities and industry research and to create a comfortable, yet distinguishable store environment in which customers can enjoy their products.</w:t>
      </w:r>
    </w:p>
    <w:p>
      <w:pPr>
        <w:spacing w:after="0" w:line="183" w:lineRule="exact"/>
        <w:rPr>
          <w:sz w:val="20"/>
          <w:szCs w:val="20"/>
          <w:color w:val="auto"/>
        </w:rPr>
      </w:pPr>
    </w:p>
    <w:p>
      <w:pPr>
        <w:jc w:val="both"/>
        <w:ind w:left="8" w:right="20"/>
        <w:spacing w:after="0" w:line="255" w:lineRule="auto"/>
        <w:rPr>
          <w:sz w:val="20"/>
          <w:szCs w:val="20"/>
          <w:color w:val="auto"/>
        </w:rPr>
      </w:pPr>
      <w:r>
        <w:rPr>
          <w:rFonts w:ascii="Times New Roman" w:cs="Times New Roman" w:eastAsia="Times New Roman" w:hAnsi="Times New Roman"/>
          <w:sz w:val="18"/>
          <w:szCs w:val="18"/>
          <w:color w:val="auto"/>
        </w:rPr>
        <w:t>The PRC Stores are a bakery chain consisting of 60 stores operated by Xinjiang United Family and the VIEs, under the “George Chanson” brand in Xinjiang, and the U.S. Stores, which consist of three stores in the U.S., sell their products in New York City. Selling through directly-operated stores, instead of franchise stores, allows the operating entities to run their entire operation more efficiently and to exercise greater control over the quality of products and the presentation of their brand, and to better manage customer experience in the stores. The current customer base of the PRC Stores and the U.S. Stores consists of both individual and corporate customers. To expand their customer base, the PRC Stores and the U.S. Stores have developed a variety of marketing and sale strategies, such as increasing their presence on social media platforms, devising pricing and discounting programs, and improving customer in-store experience.</w:t>
      </w:r>
    </w:p>
    <w:p>
      <w:pPr>
        <w:spacing w:after="0" w:line="189"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8"/>
          <w:szCs w:val="18"/>
          <w:color w:val="auto"/>
        </w:rPr>
        <w:t>The PRC Stores manufacture the majority of bakery products in their central factory located in Urumqi, Xinjiang, prepare beverage products within the stores, and contract third-party manufacturers to produce seasonal products. The U.S. Stores bake bakery products, prepare breakfast, lunch and all-day brunch, bar food, and other light meals for eat in, and make beverage products all within the kitchen in the store. To ensure the quality and safety of their products, the PRC Stores and the U.S. Stores procure raw materials, including flour, eggs, and milk, from renowned suppliers with a record of consistently supplying high-quality raw materials over decades in the food industry. In addition, the PRC Stores and the U.S. Stores have implemented a rigorous quality control system covering their entire operation process and mandated internal training to improve their employees’ awareness and knowledge of food safety.</w:t>
      </w:r>
    </w:p>
    <w:p>
      <w:pPr>
        <w:spacing w:after="0" w:line="200" w:lineRule="exact"/>
        <w:rPr>
          <w:sz w:val="20"/>
          <w:szCs w:val="20"/>
          <w:color w:val="auto"/>
        </w:rPr>
      </w:pPr>
    </w:p>
    <w:p>
      <w:pPr>
        <w:spacing w:after="0" w:line="32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8"/>
          </w:cols>
          <w:pgMar w:left="452" w:top="1026" w:right="45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361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5361940"/>
                    </a:xfrm>
                    <a:prstGeom prst="rect">
                      <a:avLst/>
                    </a:prstGeom>
                    <a:noFill/>
                  </pic:spPr>
                </pic:pic>
              </a:graphicData>
            </a:graphic>
          </wp:anchor>
        </w:drawing>
        <w:t>For the years ended December 31, 2024, 2023, and 2022, we had total revenue of $18,227,537, $17,252,662, and $13,272,075, respectively, and net income of $756,285, net income of $33,588, and net loss of $1,288,205, respectively. The PRC Stores accounted for 88.5%, 82.9%, and 71.6% of our total revenue for those fiscal years, respectively, and the U.S. Stores accounted for 11.5%, 17.1%, and 28.4%,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PRC Stores primarily generate revenue through sale of bakery products, seasonal products, and beverage products. For the years ended December 31, 2024, 2023, and 2022, revenue derived from sale of bakery products accounted for 91.6%, 87.6%, and 91.7%, of the PRC Stores’ revenue, respectively, revenue derived from sale of seasonal products accounted for 6.1%, 9.1%, and 7.3%, respectively, and revenue derived from sale of beverage products accounted for 2.3%, 3.3%, and 1.0%,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Stores primarily generate revenue through offering eat-in services and sale of bakery products and beverage products. For the years ended December 31, 2024, 2023, and 2022, revenue derived from offering eat-in services accounted for 14.5%, 27.0%, and 29.6% of the U.S. Stores’ revenue, respectively, revenue derived from sale of bakery products accounted for 24.3%, 15.1%, and 16.2%, respectively, and revenue derived from sale of beverage products accounted for 61.2%, 57.9%, and 54.2%,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Our Being an “Emerging Growth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company with less than $1.235 billion in revenue during our last fiscal year, we qualify as an “emerging growth company” as defined in the Jumpstart Our Business Startups Act of 2012, or the “JOBS Act.” An “emerging growth company” may take advantage of reduced reporting requirements that are otherwise applicable to larger public companies. In particular, as an emerging growth company, we:</w:t>
      </w:r>
    </w:p>
    <w:p>
      <w:pPr>
        <w:spacing w:after="0" w:line="176" w:lineRule="exact"/>
        <w:rPr>
          <w:sz w:val="20"/>
          <w:szCs w:val="20"/>
          <w:color w:val="auto"/>
        </w:rPr>
      </w:pPr>
    </w:p>
    <w:p>
      <w:pPr>
        <w:ind w:left="640" w:right="20" w:hanging="324"/>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provide a detailed narrative disclosure discussing our compensation principles, objectives and elements and analyzing how those elements fit with our principles and objectives, which is commonly referred to as “compensation discussion and analysis”;</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obtain an attestation and report from our auditors on our management’s assessment of our internal control over financial reporting pursuant to the Sarbanes-Oxley Act of 2002;</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obtain a non-binding advisory vote from our shareholders on executive compensation or golden parachute arrangements (commonly referred to as the “say-on-pay,” “say-on frequency,” and “say-on-golden-parachute” votes);</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exempt from certain executive compensation disclosure provisions requiring a pay-for-performance graph and CEO pay ratio disclosure;</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eligible to claim longer phase-in periods for the adoption of new or revised financial accounting standards under §107 of the JOBS Act; and</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conduct an evaluation of our internal control over financial reporting until our second annual report on Form 20-F following the effectiveness of our IPO.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11" w:name="page12"/>
    <w:bookmarkEnd w:id="1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419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7419340"/>
                    </a:xfrm>
                    <a:prstGeom prst="rect">
                      <a:avLst/>
                    </a:prstGeom>
                    <a:noFill/>
                  </pic:spPr>
                </pic:pic>
              </a:graphicData>
            </a:graphic>
          </wp:anchor>
        </w:drawing>
        <w:t>We intend to take advantage of all of these reduced reporting requirements and exemptions, other than the longer phase-in periods for the adoption of new or revised financial accounting standards under §107 of the JOBS Act.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JOBS Act, we may take advantage of the above-described reduced reporting requirements and exemptions until we no longer meet the definition of an emerging growth company. The JOBS Act provides that we would cease to be an “emerging growth company” at the end of the fiscal year in which the fifth anniversary of our initial sale of common equity pursuant to a registration statement declared effective under the Securities Act of 1933, as amended (the “Securities Act”), occurred, if we have more than $1.235 billion in annual revenue, have more than $700 million in market value of our Class A Ordinary Shares held by non-affiliates, or issue more than $1 billion in principal amount of non-convertible debt over a three-year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Status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Securities Exchange Act of 1934, as amended (the “Exchange Act”). As such, we are exempt from certain provisions applicable to U.S. domestic public companies. For example:</w:t>
      </w:r>
    </w:p>
    <w:p>
      <w:pPr>
        <w:spacing w:after="0" w:line="162" w:lineRule="exact"/>
        <w:rPr>
          <w:sz w:val="20"/>
          <w:szCs w:val="20"/>
          <w:color w:val="auto"/>
        </w:rPr>
      </w:pPr>
    </w:p>
    <w:p>
      <w:pPr>
        <w:ind w:left="640" w:hanging="32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provide as many Exchange Act reports, or as frequently, as a domestic public company;</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interim reporting, we are permitted to comply solely with our home country requirements, which are less rigorous than the rules that apply to domestic public companies;</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provide the same level of disclosure on certain issues, such as executive compensation;</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exempt from provisions of Regulation FD aimed at preventing issuers from making selective disclosures of material information;</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comply with the sections of the Exchange Act regulating the solicitation of proxies, consents, or authorizations in respect of a security registered under the Exchange Act; and</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comply with Section 16 of the Exchange Act requiring insiders to file public reports of their share ownership and trading activities and establishing insider liability for profits realized from any “short-swing” trading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disclosed in the prospectus, before the completion of the November 2025 Private Placement, Mr. Gang Li owned a majority of the aggregate voting power of out issued and outstanding ordinary shares and was able to determine all matters requiring approval by our shareholders. As a result, we were deemed to be a “controlled company” under Nasdaq Listing Rules Nasdaq Listing Rules 5615(c). As a controlled company, we were permitted to elect to rely on certain exemptions from the obligations to comply with certain corporate governance requirements. However, we did not intend to rely on the controlled company exemptions under the Nasdaq listing rules even if we were deemed a controlled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completion of the November 2025 Private Placement, Mr. Gang Li no longer owns a majority of the aggregate voting power of our issued and outstanding ordinary shares and will not be able to determine all matters requiring approval by our shareholders. As such, we will not be deemed a “controlled company” under Nasdaq Listing Rules 5615(c).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principal executive offices are located at B9 Xinjiang Chuangbo Zhigu Industrial Park, No. 100 Guangyuan Road, Shuimogou District, Urumqi, Xinjiang, China 830017, and our phone number is +86-0991-2302709. Our registered office in the Cayman Islands is located at Harneys Fiduciary (Cayman) Limited, 4th Floor, Harbour Place, 103 South Church Street, PO Box 10240, Grand Cayman, KY1-1002 Cayman Islands, and the phone number of our registered office is +1-345-949-8599. We maintain corporate websites at www.ir.chanson-international.net, www.patisseriechanson.us, and www.thymebarnyc.com. The information contained in, or accessible from, our websites or any other website does not constitute a part of this prospectus supplement. Our agent for service of process in the U.S. is George Chanson (NY) Corp., located at 41 Madison Avenue, New York, NY 10010.</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12" w:name="page13"/>
    <w:bookmarkEnd w:id="12"/>
    <w:p>
      <w:pPr>
        <w:spacing w:after="0" w:line="200" w:lineRule="exact"/>
        <w:rPr>
          <w:sz w:val="20"/>
          <w:szCs w:val="20"/>
          <w:color w:val="auto"/>
        </w:rPr>
      </w:pPr>
    </w:p>
    <w:p>
      <w:pPr>
        <w:spacing w:after="0" w:line="23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Class A Ordinary Shares offered by us</w:t>
      </w:r>
    </w:p>
    <w:p>
      <w:pPr>
        <w:spacing w:after="0" w:line="15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Class A Ordinary Shares to be outstanding after this offering, assuming an offering price of $2.10 per share</w:t>
      </w:r>
    </w:p>
    <w:p>
      <w:pPr>
        <w:spacing w:after="0" w:line="20" w:lineRule="exact"/>
        <w:rPr>
          <w:sz w:val="20"/>
          <w:szCs w:val="20"/>
          <w:color w:val="auto"/>
        </w:rPr>
      </w:pPr>
      <w:r>
        <w:rPr>
          <w:sz w:val="20"/>
          <w:szCs w:val="20"/>
          <w:color w:val="auto"/>
        </w:rPr>
        <w:br w:type="column"/>
      </w:r>
    </w:p>
    <w:p>
      <w:pPr>
        <w:ind w:left="18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-268605</wp:posOffset>
            </wp:positionV>
            <wp:extent cx="7127875" cy="4418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441896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Ordinary Shares having an aggregate offering price of up to $219,375,000.</w:t>
      </w:r>
    </w:p>
    <w:p>
      <w:pPr>
        <w:spacing w:after="0" w:line="200" w:lineRule="exact"/>
        <w:rPr>
          <w:sz w:val="20"/>
          <w:szCs w:val="20"/>
          <w:color w:val="auto"/>
        </w:rPr>
      </w:pPr>
    </w:p>
    <w:p>
      <w:pPr>
        <w:spacing w:after="0" w:line="2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No shares have been sold pursuant to the Sales Agreement as of the date hereof. The actual number of Class A Ordinary Shares outstanding after this offering will vary depending on the number of Class A Ordinary Shares sold and issued and the sales price of such shares. Up to 143,372,191 Class A Ordinary Shares will be outstanding after this offering, based on 38,907,905 Class A Ordinary Shares outstanding as of January 6, 2026 and the sale of an additional 104,464,286 Class A Ordinary Shares in this offering at an assumed offering price of $2.10 per share, the last reported sale price of our Class A Ordinary Shares on Nasdaq on January 6, 2026, but excluding all ordinary shares that are reserved under Chanson International Holding 2025 Share Incentive Plan. Because there is no minimum offering amount required as a condition to close this offering, the actual total public offering amount, commissions and proceeds to us, if any, are not determinable at this time.</w:t>
      </w:r>
    </w:p>
    <w:p>
      <w:pPr>
        <w:spacing w:after="0" w:line="169" w:lineRule="exact"/>
        <w:rPr>
          <w:sz w:val="20"/>
          <w:szCs w:val="20"/>
          <w:color w:val="auto"/>
        </w:rPr>
      </w:pPr>
    </w:p>
    <w:p>
      <w:pPr>
        <w:sectPr>
          <w:pgSz w:w="11900" w:h="16838" w:orient="portrait"/>
          <w:cols w:equalWidth="0" w:num="2">
            <w:col w:w="2740" w:space="220"/>
            <w:col w:w="8000"/>
          </w:cols>
          <w:pgMar w:left="460" w:top="1143" w:right="479" w:bottom="1440" w:gutter="0" w:footer="0" w:header="0"/>
        </w:sectPr>
      </w:pPr>
    </w:p>
    <w:p>
      <w:pPr>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Manner of offering</w:t>
      </w:r>
      <w:r>
        <w:rPr>
          <w:sz w:val="20"/>
          <w:szCs w:val="20"/>
          <w:color w:val="auto"/>
        </w:rPr>
        <w:tab/>
      </w:r>
      <w:r>
        <w:rPr>
          <w:rFonts w:ascii="Times New Roman" w:cs="Times New Roman" w:eastAsia="Times New Roman" w:hAnsi="Times New Roman"/>
          <w:sz w:val="18"/>
          <w:szCs w:val="18"/>
          <w:color w:val="auto"/>
        </w:rPr>
        <w:t>“At the market offering” as defined in Rule 415 under the Securities Act that may be made from time to time</w:t>
      </w:r>
    </w:p>
    <w:p>
      <w:pPr>
        <w:spacing w:after="0" w:line="31" w:lineRule="exact"/>
        <w:rPr>
          <w:sz w:val="20"/>
          <w:szCs w:val="20"/>
          <w:color w:val="auto"/>
        </w:rPr>
      </w:pPr>
    </w:p>
    <w:p>
      <w:pPr>
        <w:ind w:left="2960"/>
        <w:spacing w:after="0" w:line="260" w:lineRule="auto"/>
        <w:rPr>
          <w:sz w:val="20"/>
          <w:szCs w:val="20"/>
          <w:color w:val="auto"/>
        </w:rPr>
      </w:pPr>
      <w:r>
        <w:rPr>
          <w:rFonts w:ascii="Times New Roman" w:cs="Times New Roman" w:eastAsia="Times New Roman" w:hAnsi="Times New Roman"/>
          <w:sz w:val="18"/>
          <w:szCs w:val="18"/>
          <w:color w:val="auto"/>
        </w:rPr>
        <w:t>on the Nasdaq, the existing trading market for our Class A Ordinary Shares, through or to the Agent, as sales agent or principal. See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on page S-10 of this prospectus supplement</w:t>
      </w:r>
    </w:p>
    <w:p>
      <w:pPr>
        <w:spacing w:after="0" w:line="177" w:lineRule="exact"/>
        <w:rPr>
          <w:sz w:val="20"/>
          <w:szCs w:val="20"/>
          <w:color w:val="auto"/>
        </w:rPr>
      </w:pPr>
    </w:p>
    <w:p>
      <w:pPr>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7"/>
          <w:szCs w:val="17"/>
          <w:color w:val="auto"/>
        </w:rPr>
        <w:t>We intend to use the net proceeds from this offering for general corporate purposes. See “Use of Proceeds.”</w:t>
      </w:r>
    </w:p>
    <w:p>
      <w:pPr>
        <w:spacing w:after="0" w:line="225" w:lineRule="exact"/>
        <w:rPr>
          <w:sz w:val="20"/>
          <w:szCs w:val="20"/>
          <w:color w:val="auto"/>
        </w:rPr>
      </w:pPr>
    </w:p>
    <w:p>
      <w:pPr>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8"/>
          <w:szCs w:val="18"/>
          <w:color w:val="auto"/>
        </w:rPr>
        <w:t>Investing in our Class A Ordinary Shares involves significant risks.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S-6</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of this prospectus supplement and page 15 of the accompanying prospectus and in the documents incorporated</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by reference herein for a discussion of factors you should consider carefully before investing in our Class A</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Ordinary Shares.</w:t>
      </w:r>
    </w:p>
    <w:p>
      <w:pPr>
        <w:spacing w:after="0" w:line="203" w:lineRule="exact"/>
        <w:rPr>
          <w:sz w:val="20"/>
          <w:szCs w:val="20"/>
          <w:color w:val="auto"/>
        </w:rPr>
      </w:pPr>
    </w:p>
    <w:p>
      <w:pPr>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Transfer Agent</w:t>
      </w:r>
      <w:r>
        <w:rPr>
          <w:sz w:val="20"/>
          <w:szCs w:val="20"/>
          <w:color w:val="auto"/>
        </w:rPr>
        <w:tab/>
      </w:r>
      <w:r>
        <w:rPr>
          <w:rFonts w:ascii="Times New Roman" w:cs="Times New Roman" w:eastAsia="Times New Roman" w:hAnsi="Times New Roman"/>
          <w:sz w:val="17"/>
          <w:szCs w:val="17"/>
          <w:color w:val="auto"/>
        </w:rPr>
        <w:t>Transhare Corporation</w:t>
      </w:r>
    </w:p>
    <w:p>
      <w:pPr>
        <w:spacing w:after="0" w:line="225" w:lineRule="exact"/>
        <w:rPr>
          <w:sz w:val="20"/>
          <w:szCs w:val="20"/>
          <w:color w:val="auto"/>
        </w:rPr>
      </w:pPr>
    </w:p>
    <w:p>
      <w:pPr>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Nasdaq symbol</w:t>
      </w:r>
      <w:r>
        <w:rPr>
          <w:sz w:val="20"/>
          <w:szCs w:val="20"/>
          <w:color w:val="auto"/>
        </w:rPr>
        <w:tab/>
      </w:r>
      <w:r>
        <w:rPr>
          <w:rFonts w:ascii="Times New Roman" w:cs="Times New Roman" w:eastAsia="Times New Roman" w:hAnsi="Times New Roman"/>
          <w:sz w:val="18"/>
          <w:szCs w:val="18"/>
          <w:color w:val="auto"/>
        </w:rPr>
        <w:t>“CHSN”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143" w:right="47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making an investment decision, you should carefully consider the risks described under “Risk Factors” in the applicable prospectus supplement and under the heading “</w:t>
      </w:r>
      <w:r>
        <w:rPr>
          <w:rFonts w:ascii="Times New Roman" w:cs="Times New Roman" w:eastAsia="Times New Roman" w:hAnsi="Times New Roman"/>
          <w:sz w:val="18"/>
          <w:szCs w:val="18"/>
          <w:i w:val="1"/>
          <w:iCs w:val="1"/>
          <w:color w:val="auto"/>
        </w:rPr>
        <w:t>Item 3. Key Information—D. Risk Factors</w:t>
      </w:r>
      <w:r>
        <w:rPr>
          <w:rFonts w:ascii="Times New Roman" w:cs="Times New Roman" w:eastAsia="Times New Roman" w:hAnsi="Times New Roman"/>
          <w:sz w:val="18"/>
          <w:szCs w:val="18"/>
          <w:color w:val="auto"/>
        </w:rPr>
        <w:t>” in the 2024 Annual Report, which is incorporated in this prospectus by reference, together with any other information appearing or incorporated by reference in this prospectus and in any accompanying prospectus supplement, in light of your particular investment objectives and financial circumstances. In addition to those risk factors, there may be additional risks and uncertainties of which our management is unaware or deems immaterial. Our business, financial condition, or results of operations could be materially and adversely affected by any of these risks. The trading price of our Class A Ordinary Shares could decline due to any of these risks, and you may lose all or part of your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our Class A Ordinary Shares may not provide investors with adequate 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Liquidity of the market for our Class A Ordinary Shares depends on a number of factors, including our financial condition and operating results, the number of holders of our Class A Ordinary Shares, the market for similar securities and the interest of securities dealers in making a market in the securities. We cannot predict the extent to which investor interest in us will maintain a trading market in our Class A Ordinary Shares, or how liquid that market will be. If an active market is not maintained, you may have difficulty selling Class A Ordinary Shares that you hold.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Class A Ordinary Shares that we will sell under the Sales Agreement or the gross proceeds resulting from those sales.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the Agents at any time, subject to certain exceptions provided for in the Sales Agreement, throughout the term of the Sales Agreement. The number of shares that are sold through the Sales Agent after delivering a placement notice will fluctuate based on a number of factors, including the market price of the Class A Ordinary Shares during the sales period, the limits we set with the Sales Agent in any applicable placement notice, and the demand for our Class A Ordinary Shares during the sales period. Actual gross proceeds may be less than $219,375,000. Because the price per Class A Ordinary Share of each share sold will fluctuate during the sales period, it is not currently possible to predict the number of Class A Ordinary Shares that will be sold or the actual gross proceeds that will be sold to be raised in connection with those sales.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despite our efforts, we may use the net proceeds in a manner that does not increase the value of your investment.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general corporate purposes. However, we have not determined the specific allocation of the net proceeds among these potential uses. Our management will have broad discretion over the use and investment of the net proceeds from this offering, and, accordingly, investors in this offering will need to rely upon the judgment of our management with respect to the use of proceeds, with only limited information concerning our specific intentions. We may use the net proceeds in ways that do not improve our operating results or increase the value of your investment.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immediate and substantial dilution in the net tangible book value per share of the Class A Ordinary Shares you purchase in the offering. In addition, we may issue additional equity or convertible debt securities in the future, which may result in additional dilution to you.</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as adjusted pro forma net tangible book value per share of our Class A Ordinary Shares outstanding as of June 30, 2025. Assuming that we sell an aggregate of 104,464,286 Class A Ordinary Shares at a price of $2.10 per share, the last reported sale price of our Class A Ordinary Shares on Nasdaq on January 6, 2026, for aggregate gross proceeds of approximately $219,375,000, and before deducting commissions and estimated offering expenses payable by us, you will experience immediate dilution of $0.18 per share, representing the difference between our as adjusted pro forma net tangible book value per share as of June 30. 2025, after giving effect to the November 2025 Private Placement and this offering at the assumed offering price. See the section titled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below for a more detailed illustration of the dilution you would incur if you participate in this offering. In addition, to the extent we need to raise additional capital in the future and we issue additional Class A Ordinary Shares or securities convertible or exchangeable for our Class A Ordinary Shares, our then existing shareholders may experience dilution and the new securities may have rights senior to those of our Class A Ordinary Shares offered in this offering.</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Class A Ordinary Shares offered hereby will be sold in “at-the-market” offerings, and investors who buy shares at different times will likely pay different prices.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 You may experience a decline in the value of Class A Ordinary Shares that you purchase in this offering as a result of sales made at prices lower than the prices they paid.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Class A Ordinary Shares in this offering, or the perception that such sales may occur, could cause the market price of our Class A Ordinary Shares to fall.</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and sell our Class A Ordinary Shares for aggregate gross proceeds of up to $219,375,000 from time to time in connection with this offering. The issuance and sale from time to time of these new Class A Ordinary Shares, or our ability to issue these new Class A Ordinary Shares in this offering, could have the effect of depressing the market price of our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future dilution of our Class A Ordinary Shares, which could adversely affect the market price of our ordinary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not restricted from issuing additional Class A Ordinary Shares from time to time. For example, we may issue additional Class A Ordinary Shares to raise cash for future capital expenditures or for other purposes. We may also acquire interests in other companies by using a combination of cash and our ordinary shares or just our Class A Ordinary Shares. We may also issue securities convertible into, exchangeable for or that represent the right to receive our Class A Ordinary Shares. Any of these events may dilute your ownership interest in us, reduce our earnings per share and have an adverse effect on the price of our Class A Ordinary Shares. In addition, sales of a substantial amount of our Class A Ordinary Shares in the public market, or the perception that these sales may occur, could reduce the market price of our Class A Ordinary Shares. See the section titled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and sell our Class A Ordinary Shares having aggregate gross sales proceeds of up to $219,375,000 from time to time, and net proceeds of up to $212,600,000 after deducting commissions and the estimated offering expenses payable by us. Because there is no minimum offering amount required as a condition to close this offering, the actual total public offering amount, commissions and proceeds to us, if any, are not determinable at this time.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the Class A Ordinary Shares offered hereby. We currently intend to use the net proceeds from this offering for general corporate purposes. The precise amount and timing of the application of such proceeds will depend upon our funding requirements and the availability and cost of other capital. As of the date of this prospectus supplement, we cannot specify with certainty all of the particular uses for the net proceeds that we will have from the sale of our Class A Ordinary Shares. Pending the use of the net proceeds from this offering, if any, we may invest the net proceeds in investment grade, short-term interest-bearing obligations, such as money-market funds, certificates of deposit, or direct or guaranteed obligations of the United States government or hold the net proceeds as cash.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invest in the securities being offered in this offering, your ownership interest will be increased to the extent of the difference between the public offering price per Class A Ordinary Share and our as adjusted pro forma net tangible book value per ordinary share immediately after this offering. Such increase results from the fact that the public offering price per Class A Ordinary Share is substantially lower than the as adjusted pro forma net tangible book value per ordinary share attributable to the existing shareholders for our presently outstanding Class A Ordinary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have the same rights except for voting and conversion rights. In respect of matters requiring a vote of all shareholders, on a poll, each holder of Class A Ordinary Shares is entitled to one vote per Class A Ordinary Share and each holder of Class B Ordinary Shares is entitled to 50 votes per Class B Ordinary Share. The Class A Ordinary Shares are not convertible into shares of any other class. The Class B Ordinary Shares are convertible into Class A Ordinary Shares at any time after issuance at the option of the holder thereof on a one-for-one basis. No Class B Ordinary Shares are being or will be converted as part of this offering.</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net tangible book value as of June 30, 2025, was $24,299,780 or $37.77 per ordinary share. Net tangible book value represents the amount of our total consolidated tangible assets, less the amount of our total consolidated liabilities. The information above is based on an aggregate of 572,536 Class A Ordinary Shares and 70,875 Class B Ordinary Shares issued and outstanding as of June 30, 2025, which was adjusted to reflect the share consolidation that took effect on August 18, 2025. Dilution is determined by subtracting the net tangible book value per Class A Ordinary Share (as adjusted for the November 2025 Private Placement and the offering) from the public offering price per Class A Ordinary Share and before deducting the estimated offering expenses payable by us.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After giving effect to the gross proceeds of $30 million from the November 2025 Private Placement, our pro forma net tangible book value was $54,299,780 or $1.42 per ordinary share.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after giving effect to the sale of our Class A Ordinary Shares in this offering, at an assumed offering price of $2.10 per share, the last reported sale price of our Class A Ordinary Shares on Nasdaq on January 6, 2026, and before deducting commissions and estimated offering expenses payable by us, our as adjusted pro forma net tangible book value as of June 30, 2025 would have been $273,674,780 or $1.92 per ordinary share. This represents an immediate decrease in the net tangible book value of $35.85 per ordinary share to our existing shareholders and an immediate dilution in net tangible book value of approximately $0.18 per ordinary share to new investors. The following table illustrates per share dilution: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Class A Ordinary Share</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ordinary share as of June 30, 2025</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37.77</w:t>
            </w: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net tangible book value per share attributable to the November 2025 Private Placement</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36.34</w:t>
            </w:r>
          </w:p>
        </w:tc>
      </w:tr>
      <w:tr>
        <w:trPr>
          <w:trHeight w:val="216"/>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ordinary share as of June 30, 2025, after giving effect to the November 2025 Private Placement</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ordinary share, after giving effect to this offering</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0.50</w:t>
            </w:r>
          </w:p>
        </w:tc>
      </w:tr>
      <w:tr>
        <w:trPr>
          <w:trHeight w:val="198"/>
        </w:trPr>
        <w:tc>
          <w:tcPr>
            <w:tcW w:w="9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 adjusted pro forma net tangible book value per ordinary share as of June 30, 2025, after giving effect to the November 2025 Private</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Placement and this offering</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shares in this offering</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0.18</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above is based on an aggregate of 572,536 Class A Ordinary Shares and 70,875 Class B Ordinary Shares issued and outstanding as of June 30, 2025, which was adjusted to reflect the share consolidation that took effect on August 18,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104,464,286 Class A Ordinary Shares are sold at a price of $2.10 per share, the last reported sale price of our Class A Ordinary Shares on Nasdaq on January 6, 2026, for aggregate gross proceeds of approximately $219,375,000. The shares sold in this offering, if any, will be sold from time to time at various prices. An increase of $1.00 per share in the price at which the shares are sold from the assumed offering price of $2.10 per share shown in the table above, assuming all of our Class A Ordinary Shares in the aggregate amount of $219,375,000 is sold at that price, would increase our as adjusted pro forma net tangible book value per share after the offering to $2.51 per share and would increase the dilution in net tangible book value per share to new investors in this offering to $0.59 per share, before deducting commissions and estimated offering expenses payable by us. A decrease of $1.00 per share in the price at which the shares are sold from the assumed offering price of $2.10 per share shown in the table above, assuming all of our Class A Ordinary Shares in the aggregate amount of $219,375,000 is sold at that price, would decrease our adjusted net tangible book value per share after the offering to $1.15 per share and would result in accretion in net tangible book value per share to new investors in this offering to $0.05 per share, after deducting estimated offering expenses and commissions payable by us. This information is supplied for illustrative purposes only.</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the extent that outstanding options or warrants are exercised, or we issue other shares, investors purchasing shares in this offering could experience further dilution. In addition, to the extent that we raise additional capital through the sale of equity or convertible debt securities, the issuance of those securities could result in further dilution to our shareholders.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the Sales Agreement with AC Sunshine Securities LLC (the “Sales Agent”) under which we may offer and sell our Class A Ordinary Shares having an aggregate offering price of up to $219,375,000 from time to time through or to the Sales Agent, as sales agents or principals. The sale of our Class A Ordinary Shares, if any, under this prospectus supplement will be made at market prices by any method deemed to be an “at the market offering” as defined in Rule 415(a)(4) under the Securities Act, including sales made directly on Nasdaq, or sales made to or through a market maker other than on an exchange or any other method permitted under applicable law.</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time that we wish to issue and sell our Class A Ordinary Shares under the Sales Agreement, we will provide a Sales Agent with a placement notice describing the number of Class A Ordinary Shares to be sold, the time period during which sales are requested to be made, any limitation on the number of Class A Ordinary Shares that may be sold in any single day, any minimum price below which sales may not be made or any minimum price requested for sales in a given time period and any other instructions relevant to such requested sales. Upon receipt of a placement notice, the Sales Agent, acting as our sales agent, will use commercially reasonable efforts, consistent with its normal trading and sales practices and applicable state and federal laws, rules and regulations and the rules of Nasdaq, to sell our Class A Ordinary Shares under the terms and subject to the conditions of the placement notice and the Sales Agreement. We or the Sales Agent may suspend the offering of Class A Ordinary Shares pursuant to a placement notice upon notice and subject to other conditions. The Sales Agent, in its sole discretion, may decline to accept any placement notice.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Sales Agent will provide written confirmation to us no later than the opening of the trading day on Nasdaq following the trading day on which our Class A Ordinary Shares are sold through the applicable Sales Agent as sales agent under the Sales Agreement. Each confirmation will include the number of shares sold on the preceding day, the volume-weighted average price of the shares sold on such day, the net proceeds to us, and the commissions payable by us to the Sales Agent in connection with the sales.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Settlement for sales of Class A Ordinary Shares under the Sales Agreement will occur on the first trading day following the date on which such sales are made (or on such other date as is industry practice for regular-way trading), unless otherwise specified in the applicable placement notice, in return for payment of the net proceeds to us. There are no arrangements to place any of the proceeds of this offering in an escrow, trust or similar account. Sales of our Class A Ordinary Shares as contemplated in this prospectus supplement will be settled through the facilities of The Depository Trust Company or by such other means as we and the Sales Agent may agree upon.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pay the Sales Agent commissions for its services in acting as our sales agent in the sale of our Class A Ordinary Shares pursuant to the Sales Agreement. The Sales Agent will be entitled to compensation at a fixed commission rate of 3.0% of the gross proceeds from the sale of our Class A Ordinary Shares on our behalf pursuant to the Sales Agreement. We also have agreed to reimburse the Sales Agent for all expenses incident to the performance of our obligations under the Sales Agreement including, without limitation, all fees, expenses in an amount not to exceed $100,000. We have paid an expense deposit of $70,000 to the Sales Agent upon the signing of the engagement letter agreement by and between us and the Sales Agent, dated October 23, 2025.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there are no minimum sale requirements as a condition to this offering, the actual total public offering price, commissions and net proceeds to us, if any, are not determinable at this time. The actual dollar amount and number of Class A Ordinary Shares we sell through this prospectus supplement will be dependent, among other things, on market conditions and our capital raising requirements.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We will report at least quarterly the number of Class A Ordinary Shares sold through the Sales Agent under the Sales Agreement, the net proceeds to us and the compensation paid by us to the Sales Agent in connection with the sales of Class A Ordinary Shares.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offering of our Class A Ordinary Shares pursuant to the Sales Agreement will terminate automatically upon the earlier to occur of (i) the sale of all of our Class A Ordinary Shares subject to the Sales Agreement pursuant to the terms of the Sales Agreement and (ii) the expiration of the Registration Statement. We and the Sales Agent may each terminate the Sales Agreement at any time upon fifteen (15) days’ prior written notice.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summary of the material provisions of the Sales Agreement does not purport to be a complete statement of its terms and conditions. The Sales Agreement has been filed as an exhibit to a current report on Form 6-K that we filed with the SEC in connection with this offering and is incorporated into this prospectus supplement by reference. See “Where You Can Find More Information” in the prospectus supplement, as amended by this amendment.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 Compliance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Sales Agent will be deemed to be an underwriter within the meaning of Section 2(a)(11) of the Securities Act, and commissions received by it and any profit realized on the sale of our securities offered hereby by it while acting as principal will be deemed to be underwriting discounts or commissions under the Securities Act. The Sales Agent will be required to comply with the requirements of the Securities Act and the Exchange Act, including, without limitation, Rule 10b-5 and Regulation M under the Exchange Act. These rules and regulations may limit the timing of purchases and sales of our securities by the Sales Agent. Under these rules and regulations, the Sales Agent may not (i) engage in any stabilization activity in connection with our securities; and</w:t>
      </w:r>
    </w:p>
    <w:p>
      <w:pPr>
        <w:spacing w:after="0" w:line="3" w:lineRule="exact"/>
        <w:rPr>
          <w:sz w:val="20"/>
          <w:szCs w:val="20"/>
          <w:color w:val="auto"/>
        </w:rPr>
      </w:pPr>
    </w:p>
    <w:p>
      <w:pPr>
        <w:ind w:firstLine="8"/>
        <w:spacing w:after="0" w:line="260" w:lineRule="auto"/>
        <w:tabs>
          <w:tab w:leader="none" w:pos="2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bid for or purchase any of our securities or attempt to induce any person to purchase any of our securities, other than as permitted under the Exchange Act, until they have completed their participation in the distribution.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agreed to indemnify the Sales Agent against certain liabilities, including liabilities under the Securities Act and liabilities arising from breaches of representations and warranties contained in the Sales Agreement. We have also agreed to contribute to payments the Sales Agent may be required to make in respect of such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Sales Agent and/or their affiliates may in the future provide, various investment banking and other financial services for us, for which services may in the future receive customary fees and commissions for these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Restrictions Outside the United States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Sales Agent that would permit a public offering of the securities offered by this prospectus supplement and the accompanying base prospectus in any jurisdiction where action for that purpose is required. The securities offered by this prospectus supplement and the accompanying base prospectus may not be offered or sold, directly or indirectly, nor may this prospectus supplement, the accompanying base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or the accompanying base prospectus comes are advised to inform themselves about and to observe any restrictions relating to the offering and the distribution of this prospectus supplement and the accompanying base prospectus. This prospectus supplement and the accompanying base prospectus do not constitute an offer to sell or a solicitation of an offer to buy any securities offered by this prospectus supplement and the accompanying base prospectus in any jurisdiction in which such an offer or a solicitation is unlawful.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being represented by Loeb &amp; Loeb LLP with respect to certain legal matters as to United States federal securities and New York State law. The validity of the Class A Ordinary Shares offered in this offering and certain other legal matters as to Cayman Islands law will be passed upon for us by Ogier (Cayman) LLP, our counsel as to Cayman Islands law. Legal matters as to PRC law will be passed upon for us by Dacheng.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2023 and 2024, and for each of the two years in the period ended December 31, 2024, incorporated by reference into this prospectus from our 2024 annual report on Form 20-F for the year ended December 31, 2024, have been audited by Assentsure, an independent registered public accounting firm, as stated in their report. Such financial statements have been so included in reliance upon the report of such firm given upon their authority as experts in auditing and accounting. The office of Assentsure is located at 180B Bencoolen Street, #03-01, Singapore 189648.</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2022, and for the year ended December 31, 2022, incorporated by reference into this prospectus from our annual report on Form 20-F for the year ended December 31, 2024, have been audited by Marcum Asia CPAs LLP, an independent registered public accounting firm, as stated in their report (which report is dated May 1, 2023), given upon their authority as experts in auditing and accounting. This report contains an explanatory paragraph regarding the adjustments described in Note 17 to retrospectively apply the changes to 2022 numbers and disclosures as a result of the adoption of ASU 2023-07, Segment Reporting. They were not engaged to audit, review or apply any procedures to these adjustments. The office of Marcum Asia was located at 7 Pennsylvania Plaza Suite 830, New York, NY 10001.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certain information that we file with the SEC. This means that we can disclose important information to you by referring you to those documents. Any statement contained in a document incorporated by reference in this prospectus supplement shall be deemed to be modified or superseded for purposes of this prospectus supplement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incorporate by reference into this prospectus supplement the following documents:</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4">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April 4, 2025;</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auto"/>
          </w:rPr>
          <w:t xml:space="preserve">our current reports of foreign private issuer on Form 6-K filed with the SEC on </w:t>
        </w:r>
        <w:r>
          <w:rPr>
            <w:rFonts w:ascii="Times New Roman" w:cs="Times New Roman" w:eastAsia="Times New Roman" w:hAnsi="Times New Roman"/>
            <w:sz w:val="18"/>
            <w:szCs w:val="18"/>
            <w:u w:val="single" w:color="auto"/>
            <w:color w:val="0000EE"/>
          </w:rPr>
          <w:t>April 8,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13,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18,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July 29,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21, 2025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22,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5,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23,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7,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14,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16, 2025</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23,</w:t>
        </w:r>
      </w:hyperlink>
      <w:r>
        <w:rPr>
          <w:rFonts w:ascii="Times New Roman" w:cs="Times New Roman" w:eastAsia="Times New Roman" w:hAnsi="Times New Roman"/>
          <w:sz w:val="18"/>
          <w:szCs w:val="18"/>
          <w:color w:val="0000EE"/>
        </w:rPr>
        <w:t xml:space="preserve"> </w:t>
      </w:r>
      <w:hyperlink r:id="rId36">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hyperlink>
    </w:p>
    <w:p>
      <w:pPr>
        <w:spacing w:after="0" w:line="175"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our registration statement on </w:t>
      </w:r>
      <w:hyperlink r:id="rId3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March 24, 2023, as updated by the description of securities contained in the </w:t>
      </w:r>
      <w:hyperlink r:id="rId38">
        <w:r>
          <w:rPr>
            <w:rFonts w:ascii="Times New Roman" w:cs="Times New Roman" w:eastAsia="Times New Roman" w:hAnsi="Times New Roman"/>
            <w:sz w:val="18"/>
            <w:szCs w:val="18"/>
            <w:u w:val="single" w:color="auto"/>
            <w:color w:val="0000EE"/>
          </w:rPr>
          <w:t>exhibit 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2024 </w:t>
      </w:r>
      <w:hyperlink r:id="rId34">
        <w:r>
          <w:rPr>
            <w:rFonts w:ascii="Times New Roman" w:cs="Times New Roman" w:eastAsia="Times New Roman" w:hAnsi="Times New Roman"/>
            <w:sz w:val="18"/>
            <w:szCs w:val="18"/>
            <w:u w:val="single" w:color="auto"/>
            <w:color w:val="0000EE"/>
          </w:rPr>
          <w:t>Annual Report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4,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annual reports on Form 20-F filed with the SEC after the date of this prospectus and prior to the termination of the offering of the securities offered by this prospectus;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reports of foreign private issuer on Form 6-K that we furnish to the SEC after the date of this prospectus that are identified in such reports as being incorporated by reference into the registration statement of which this prospectus forms a part.</w:t>
      </w:r>
    </w:p>
    <w:p>
      <w:pPr>
        <w:spacing w:after="0" w:line="37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4">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April 4, 2025, contains a description of our business and audited consolidated financial statements with a report by our independent auditors. These statements were prepared in accordance with U.S. GAAP.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supplement shall be deemed to incorporate by reference information furnished to, but not filed with, the SEC. Copies of all documents incorporated by reference in this prospectus supplement, other than exhibits to those documents unless such exhibits are specially incorporated by reference in this prospectus supplement, will be provided at no cost to each person, including any beneficial owner, who receives a copy of this prospectus supplement on the written or oral request of that person made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Chanson International Holding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 8 Banhouhaichuan 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Xiqin Town, Yanping District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Nanping City, Fujian Province, China 353001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+86 0599 8508022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supplement. We have not authorized anyone to provide you with different information. We are not making any offer to sell these securities in any jurisdiction where the offer or sale is not permitted. You should not assume that the information contained or incorporated in this prospectus supplement by reference is accurate as of any date other than the date of the document containing the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permitted by SEC rules, this prospectus supplement omits certain information and exhibits that are included in the registration statement of which this prospectus supplement forms a part. Since this prospectus supplement may not contain all of the information that you may find important, you should review the full text of these documents. If we have filed a contract, agreement, or other document as an exhibit to the registration statement of which this prospectus supplement forms a part, you should read the exhibit for a more complete understanding of the document or matter involved. Each statement in this prospectus supplement, including statements incorporated by reference as discussed above, regarding a contract, agreement, or other document is qualified in its entirety by reference to the actual document.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inspected over the Internet at the SEC’s website at www.sec.gov and the Company’s website at CHSN.cn. The information contained on our website is not a part of this prospectus supplement.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or current reports and financial statements with the SEC as frequently or as promptly as U.S. companies whose securities are registered under the Exchange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$300,000,000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142875</wp:posOffset>
            </wp:positionV>
            <wp:extent cx="1251585" cy="12515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25158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is an offering of the securities of Chanson International Holding, a Cayman Islands holding company. We may, from time to time, in one or more offerings, offer and sell up to $300,000,000 of our Class A ordinary shares of par value US$0.08 each (“Class A Ordinary Shares”), warrants, rights, and units, or any combination thereof, together or separately as described in this prospectus. In this prospectus, references to the term “securities” refers, collectively, to our Class A Ordinary Shares, warrants, rights, and units.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from time to time, selling shareholders named in a prospectus supplement may offer and sell our Class A ordinary shares held by them. We will not receive any proceeds from the sale of our Class A ordinary shares by selling shareholders.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we may offer. We will provide the specific terms of the securities offered in one or more supplements to this prospectus. We may also authorize one or more free writing prospectuses to be provided to you in connection with these offerings. You should read this prospectus, any prospectus supplement, and any free writing prospectus before you invest in any of our securities. The prospectus supplement and any related free writing prospectus may add, update, or change information in this prospectus. You should read carefully this prospectus, the applicable prospectus supplement, and any related free writing prospectus, as well as the documents incorporated or deemed to be incorporated by reference, before you invest in any of our securities. This prospectus may not be used to offer or sell any securities unless accompanied by the applicable prospectus supplement.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options to purchase additional securities held by them will be described in the applicable prospectus supplement. For a more complete description of the plan of distribution of these securities, please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Class A Ordinary Shares are listed on the Nasdaq Capital Market, or “Nasdaq,” under the symbol “CHSN.” On September 15, 2025, the last reported sale price of our Class A Ordinary Shares on Nasdaq was $2.95 per share. The aggregate market value of our outstanding Class A Ordinary Shares held by non-affiliates, or public float, as of September 15, 2025, was approximately $4,043,801, which was calculated based on 1,370,780 Class A Ordinary Shares held by non-affiliates and the price of $2.95 per share, which was the closing price of our Class A Ordinary Shares on Nasdaq on September 15, 2025. Pursuant to General Instruction I.B.5 of Form F-3, in no event will we sell our securities in a public primary offering with a value exceeding more than one-third of our public float in any 12-month period so long as our public float remains below $75 million. During the 12 calendar months prior to and including the date of this prospectus, we have not offered or sold any securities pursuant to General Instruction I.B.5 of Form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making an investment decision, please read the information under the heading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15 of this prospectus and risk factors set forth in our most recent annual report on Form 20-F (the “2024 Annual Report”), in other reports incorporated herein by reference, and in an applicable prospectus supplement.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selling shareholders may offer and sell the securities from time to time at fixed prices, at market prices, or at negotiated prices, to or through underwriters, to other purchasers, through agents, or through a combination of these methods. If any underwriters are involved in the sale of any securities with respect to which this prospectus is being delivered, the names of such underwriters and any applicable commissions or discounts will be set forth in a prospectus supplement. The offering price of such securities and the net proceeds we expect to receive from such sale will also be set forth in a prospectus supplement.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elsewhere in this prospectus for a more complete description of the ways in which the securities may be sold.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holding company incorporated under the laws of the Cayman Islands and not a Chinese operating company. As a holding company with no material operations of our own, we conduct our operations through our subsidiaries in China and the U.S. and the VIEs in China. For accounting purposes, we control and receive the economic benefits of the VIEs through certain contractual arrangements (the “VIE Agreements”), which enable us to consolidate the financial results of the VIEs in our consolidated financial statements under generally accepted accounting principles in the U.S. (“U.S. GAAP”), and the structure involves unique risks to investors. Our securities offered in this offering are securities of Chanson International, the offshore holding company in the Cayman Islands, instead of securities of our subsidiary or the VIEs in China. The VIE structure provides contractual exposure to foreign investment in China-based companies. Chinese law, however, does not prohibit direct foreign investment in the VIEs. For a description of the VIE Agreements, see “</w:t>
      </w:r>
      <w:r>
        <w:rPr>
          <w:rFonts w:ascii="Times New Roman" w:cs="Times New Roman" w:eastAsia="Times New Roman" w:hAnsi="Times New Roman"/>
          <w:sz w:val="18"/>
          <w:szCs w:val="18"/>
          <w:i w:val="1"/>
          <w:iCs w:val="1"/>
          <w:color w:val="auto"/>
        </w:rPr>
        <w:t>Prospectus Summary—Our Corporate Structure—The United Family Group</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Corporate History and Structure</w:t>
      </w:r>
      <w:r>
        <w:rPr>
          <w:rFonts w:ascii="Times New Roman" w:cs="Times New Roman" w:eastAsia="Times New Roman" w:hAnsi="Times New Roman"/>
          <w:sz w:val="18"/>
          <w:szCs w:val="18"/>
          <w:color w:val="auto"/>
        </w:rPr>
        <w:t>.” As a result of our use of the VIE structure, you may never directly hold equity interests in the VIEs.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do not directly hold equity interests in the VIEs, we are subject to risks and uncertainties of the interpretations and applications of PRC laws and regulations, including but not limited to, regulatory review of overseas listing of PRC companies through special purpose vehicles and the validity and enforcement of the VIE Agreements. We are also subject to the risks and uncertainties about any future actions of the PRC government in this regard that could disallow the VIE structure, which would likely result in a material change in our operations, and the value of our Class A Ordinary Shares may depreciate significantly or become worthless. The VIE Agreements have not been tested in a court of law in China as of the date of this prospectus. See “</w:t>
      </w:r>
      <w:r>
        <w:rPr>
          <w:rFonts w:ascii="Times New Roman" w:cs="Times New Roman" w:eastAsia="Times New Roman" w:hAnsi="Times New Roman"/>
          <w:sz w:val="18"/>
          <w:szCs w:val="18"/>
          <w:i w:val="1"/>
          <w:iCs w:val="1"/>
          <w:color w:val="auto"/>
        </w:rPr>
        <w:t>Item 3. Key Information—D. Risk Factors—Risks Relating to Our Corporate Structure—The VIE Agreements with the UFG Entities and the UFG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Operators may not be effective in providing control over the UFG Entities</w:t>
      </w:r>
      <w:r>
        <w:rPr>
          <w:rFonts w:ascii="Times New Roman" w:cs="Times New Roman" w:eastAsia="Times New Roman" w:hAnsi="Times New Roman"/>
          <w:sz w:val="18"/>
          <w:szCs w:val="18"/>
          <w:color w:val="auto"/>
        </w:rPr>
        <w:t>” in our 2024 Annual Report, which is incorporated by reference into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certain legal and operational risks associated with having the majority of our operations in China, which could cause the value of our securities to significantly decline or become worthless. PRC laws and regulations governing our current business operations are sometimes vague and uncertain, and as a result these risks may result in material changes in the operations of the VIEs, significant depreciation or a complete loss of the value of our Class A Ordinary Shares, or a complete hindrance of our ability to offer, or continue to offer, our securities to investors. Recently, the PRC government adopted a series of regulatory actions and issued statements to regulate business operations in China with little advance notice, including cracking down on illegal activities in the securities market, adopting new measures to extend the scope of cybersecurity reviews, and expanding the efforts in anti-monopoly enforcement. As of the date of this prospectus, we, our PRC subsidiary, and the VIEs have not been involved in any investigations on cybersecurity review initiated by any PRC regulatory authority, nor has any of them received any inquiry, notice, or sanction. As confirmed by our PRC counsel, Beijing Dacheng Law Offices, LLP (Guangzhou) (“Dacheng”), we are not subject to cybersecurity review with the Cyberspace Administration of China (the “CAC”), under the Cybersecurity Review Measures that became effective on February 15, 2022, since we are not critical information infrastructure operator (“CIIO”) or online platform operator, and we currently do not have over one million users’ personal information and do not anticipate that we will be collecting over one million users’ personal information in the foreseeable future, which we understand might otherwise subject us to the Cybersecurity Review Measures. We have not been notified by relevant government departments or local authorities for data security assessment, and our data have not been publicly released as important data. Therefore, we do not need to declare our data for security assessment as important data to exit the country, under the Provisions on Regulating and Facilitating Cross-Border Data Flow that were promulgated by CAC and became effective on March 22, 2024. We are also not subject to network data security review by the CAC, since we currently do not conduct network data processing activities that affect or may affect national security, which we understand might otherwise subject us to the Regulation on Network Data Security Management. See “</w:t>
      </w:r>
      <w:r>
        <w:rPr>
          <w:rFonts w:ascii="Times New Roman" w:cs="Times New Roman" w:eastAsia="Times New Roman" w:hAnsi="Times New Roman"/>
          <w:sz w:val="18"/>
          <w:szCs w:val="18"/>
          <w:i w:val="1"/>
          <w:iCs w:val="1"/>
          <w:color w:val="auto"/>
        </w:rPr>
        <w:t>Item 3. Key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 Risk Factors—Risks Relating to Doing Business in the PRC—Recent greater oversight by the CAC over data security, particularly for companies seeking to list on a foreign exchange, could adversely impact our business and our offerings</w:t>
      </w:r>
      <w:r>
        <w:rPr>
          <w:rFonts w:ascii="Times New Roman" w:cs="Times New Roman" w:eastAsia="Times New Roman" w:hAnsi="Times New Roman"/>
          <w:sz w:val="18"/>
          <w:szCs w:val="18"/>
          <w:color w:val="auto"/>
        </w:rPr>
        <w:t>” in our 2024 Annual Report, which is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(the “CSRC”) promulgated the Trial Administrative Measures of Overseas Securities Offering and Listing by Domestic Companies, or the “Trial Measures,” and five supporting guidelines, which came into effect on March 31, 2023. As advised by Dacheng, we are required to complete necessary filing procedures pursuant to the Trial Measures within three working days after the completion of this offering. See “</w:t>
      </w:r>
      <w:r>
        <w:rPr>
          <w:rFonts w:ascii="Times New Roman" w:cs="Times New Roman" w:eastAsia="Times New Roman" w:hAnsi="Times New Roman"/>
          <w:sz w:val="18"/>
          <w:szCs w:val="18"/>
          <w:i w:val="1"/>
          <w:iCs w:val="1"/>
          <w:color w:val="auto"/>
        </w:rPr>
        <w:t>Item 3. Key Information—D. Risk Factors—Risks Relating to Doing Business in the PRC—The Opinions, the Trial Measures,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revised Provisions recently issued by the PRC authorities may subject us to additional compliance requirements in the future</w:t>
      </w:r>
      <w:r>
        <w:rPr>
          <w:rFonts w:ascii="Times New Roman" w:cs="Times New Roman" w:eastAsia="Times New Roman" w:hAnsi="Times New Roman"/>
          <w:sz w:val="18"/>
          <w:szCs w:val="18"/>
          <w:color w:val="auto"/>
        </w:rPr>
        <w:t>” in our 2024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incorporated by reference into this prospectus. Notwithstanding the foregoing, as of the date of this prospectus, according to Dacheng, no relevant PRC laws or regulations in effect require that we obtain permission from any PRC authorities to issue securities to foreign investors, and we have not received any inquiry, notice, warning, sanction, or any regulatory objection to this offering from the CSRC, the CAC, or any other PRC authorities that have jurisdiction over our operations. Since these statements and regulatory actions are newly published, it is highly uncertain what the potential impact such modified or new laws and regulations will have on the daily business operations of our subsidiaries and the VIEs, our ability to accept foreign investments, and our listing on a U.S. stock exchange. The Standing Committee of the National People’s Congress (the “SCNPC”) or PRC regulatory authorities may in the future promulgate additional laws, regulations, or implementing rules that require us, our subsidiaries, or the VIEs to obtain regulatory approval from Chinese authorities before listing in the U.S. If we do not receive or maintain such approval, or inadvertently conclude that such approval is not required, or applicable laws, regulations, or interpretations change such that we are required to obtain approval in the future, we may be subject to an investigation by competent regulators, fines or penalties, or an order prohibiting us from conducting an offering, and these risks could result in a material adverse change in our operations and the value of our Class A Ordinary Shares, significantly limit or completely hinder our ability to offer or continue to offer securities to investors, or cause such securities to significantly decline in value or become worthless.</w: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our Class A Ordinary Shares may be prohibited from trading on a national exchange or over-the-counter under the Holding Foreign Companies Accountable Act (the “HFCA Act”) if the Public Company Accounting Oversight Board (United States) (the “PCAOB”) is unable to inspect our auditors for three consecutive years beginning in 2021. Our auditor prior to September 29, 2022, Friedman LLP (“Friedman”), which combined with Marcum LLP effective September 1, 2022, and our auditor for the period between September 29, 2022 and July 9, 2023, Marcum Asia CPAs LLP (“Marcum Asia”), which is a subsidiary of Marcum LLP, had been inspected by the PCAOB on a regular basis in the audit periods, and our new auditor Assentsure PAC (“Assentsure”) since July 10, 2023, as an auditor of companies that are traded publicly in the United States and a firm registered with the PCAOB, is subject to laws in the United States pursuant to which the PCAOB conducts regular inspections to assess its compliance with the applicable professional standards. Assentsure is headquartered in Singapore, and is inspected by the PCAOB on a regular basis. None of the three auditors is subject to the determinations announced by the PCAOB on December 16, 2021. If trading in our Class A Ordinary Shares is prohibited under the HFCA Act in the future because the PCAOB determines that it cannot inspect or fully investigate our auditor at such future time, Nasdaq may determine to delist our Class A Ordinary Shares and trading in our Class A Ordinary Shares could be prohibited.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See “</w:t>
      </w:r>
      <w:r>
        <w:rPr>
          <w:rFonts w:ascii="Times New Roman" w:cs="Times New Roman" w:eastAsia="Times New Roman" w:hAnsi="Times New Roman"/>
          <w:sz w:val="18"/>
          <w:szCs w:val="18"/>
          <w:i w:val="1"/>
          <w:iCs w:val="1"/>
          <w:color w:val="auto"/>
        </w:rPr>
        <w:t>Item 3. Key Information—D.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Relating to Doing Business in the PRC—Joint statement by the SEC and the Public Company Accounting Oversight Board (United States) (the “PCAOB”), rule changes by Nasdaq, and the Holding Foreign Companies Accountable Act (the “HFCA Act”) all call for additional and more stringent criteria to be applied to emerging market companies upon assessing the qualification of their auditors, especially the non-U.S. auditors who are not inspected by the PCAOB. These developments could add uncertainties to our offerings</w:t>
      </w:r>
      <w:r>
        <w:rPr>
          <w:rFonts w:ascii="Times New Roman" w:cs="Times New Roman" w:eastAsia="Times New Roman" w:hAnsi="Times New Roman"/>
          <w:sz w:val="18"/>
          <w:szCs w:val="18"/>
          <w:color w:val="auto"/>
        </w:rPr>
        <w:t>” in our 2024 Annual Report, which is incorporated by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our Company, our subsidiaries, and the VIEs have not distributed any earnings or settled any amounts owed under the VIE Agreements. Our Company, our subsidiaries, and the VIEs do not have any plan to distribute earnings or settle amounts owed under the VIE Agreements in the foreseeable future. As of the date of this prospectus, none of our subsidiaries or VIEs have made any dividends or distributions to our Company and our Company has not made any dividends or distributions to our shareholders. We intend to keep any future earnings to finance the expansion of our business, and we do not anticipate that any cash dividends will be paid in the foreseeable future. If we determine to pay dividends on any of our Class A Ordinary Shares or Class B Ordinary Shares in the future, as a holding company, we will depend on receipt of funds from our PRC subsidiary and from the VIEs to our PRC subsidiary in accordance with the VIE Agreements. See “</w:t>
      </w:r>
      <w:r>
        <w:rPr>
          <w:rFonts w:ascii="Times New Roman" w:cs="Times New Roman" w:eastAsia="Times New Roman" w:hAnsi="Times New Roman"/>
          <w:sz w:val="18"/>
          <w:szCs w:val="18"/>
          <w:i w:val="1"/>
          <w:iCs w:val="1"/>
          <w:color w:val="auto"/>
        </w:rPr>
        <w:t>Prospectus Summary—Dividends or Distributions Made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our Company and U.S. Investors and Tax Consequences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cash transfers and transfers of other assets that occurred among our Company, our subsidiaries, and the VIEs included the following intercompany borrowings, raw material transfers, and product transfers: (i) during the fiscal year ended December 31, 2024, Xinjiang United Family received raw materials from the VIEs in the approximate amount of $4,197,240, and transferred cash (as working capital), raw materials and products to the VIEs in the approximate amount of $661,983, $1,603,664, and $2,983,019, respectively; and (ii) during the fiscal year ended December 31, 2023, Xinjiang United Family received from the VIEs cash and raw materials in the approximate amount of $1,542,178 and $1,400,536, respectively, and transferred to the VIEs raw materials and products in the approximate amount of $1,845,098 and $3,413,933, respectively. For more detailed discussion of how cash and other assets are transferred among our Company, our subsidiaries, and the VIEs, see “</w:t>
      </w:r>
      <w:r>
        <w:rPr>
          <w:rFonts w:ascii="Times New Roman" w:cs="Times New Roman" w:eastAsia="Times New Roman" w:hAnsi="Times New Roman"/>
          <w:sz w:val="18"/>
          <w:szCs w:val="18"/>
          <w:i w:val="1"/>
          <w:iCs w:val="1"/>
          <w:color w:val="auto"/>
        </w:rPr>
        <w:t>Prospectus Summary—Asset Transfers Between Our Company,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Subsidiaries, and the VIEs,” “Prospectus Summary—Selected Condensed Consolidating Financial Schedule of Chanson International and Its Subsidiaries and the VIEs</w:t>
      </w:r>
      <w:r>
        <w:rPr>
          <w:rFonts w:ascii="Times New Roman" w:cs="Times New Roman" w:eastAsia="Times New Roman" w:hAnsi="Times New Roman"/>
          <w:sz w:val="18"/>
          <w:szCs w:val="18"/>
          <w:color w:val="auto"/>
        </w:rPr>
        <w:t>,” and our audited consolidated financial statements for the fiscal years ended December 31, 2024, 2023, and 2022 as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into this prospectus. To the extent cash in the business is in the PRC, the funds may not be available to fund operations or for other use outside of the PRC due to interventions in or the imposition of restrictions and limitations on the ability of our Company, our subsidiaries, or the VIEs by the PRC government to transfer cash. See “</w:t>
      </w:r>
      <w:r>
        <w:rPr>
          <w:rFonts w:ascii="Times New Roman" w:cs="Times New Roman" w:eastAsia="Times New Roman" w:hAnsi="Times New Roman"/>
          <w:sz w:val="18"/>
          <w:szCs w:val="18"/>
          <w:i w:val="1"/>
          <w:iCs w:val="1"/>
          <w:color w:val="auto"/>
        </w:rPr>
        <w:t>Item 3. Key Information—D. Risk Factors—Risks Relating to Doing Business in the PRC—To the extent cash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is in the PRC or a PRC entity, the funds may not be available to fund operations or for other use outside of the PRC due to interventions in or the imposition of restrictions and limitations on the ability of our Company, our subsidiaries, or the VIEs by the PRC government to transfer cash</w:t>
      </w:r>
      <w:r>
        <w:rPr>
          <w:rFonts w:ascii="Times New Roman" w:cs="Times New Roman" w:eastAsia="Times New Roman" w:hAnsi="Times New Roman"/>
          <w:sz w:val="18"/>
          <w:szCs w:val="18"/>
          <w:color w:val="auto"/>
        </w:rPr>
        <w:t>” in our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which is incorporated by reference into this prospectus. Our management is directly supervising cash management. Our finance department is responsible for establishing the cash management policies and procedures among our departments and the operating entities. Each department or operating entity initiates a cash request by putting forward a cash demand plan, which explains the specific amount and timing of cash requested, and submitting it to designated management members of our Company, based on the amount and the use of cash requested. The designated management member examines and approves the allocation of cash based on the sources of cash and the priorities of the needs, and submit it to the cashier specialists of our finance department for a second review. Other than the above, as of the date of this prospectus supplement, we do not have other cash management policies or procedures that dictate how funds are transferred nor a written policy that addresses how we will handle any limitations on cash transfers due to PRC law.</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both an “emerging growth company” and a “foreign private issuer” as defined under the federal securities laws and will be subject to reduced public company reporting requirements. Please read the disclosures “Implications of Our Being an ‘Emerging Growth Company’” beginning on page 12 of this prospectus for more information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nor any other regulatory body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9"/>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8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62"/>
        </w:trPr>
        <w:tc>
          <w:tcPr>
            <w:tcW w:w="4400" w:type="dxa"/>
            <w:vAlign w:val="bottom"/>
            <w:gridSpan w:val="24"/>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w:t>
            </w:r>
          </w:p>
        </w:tc>
        <w:tc>
          <w:tcPr>
            <w:tcW w:w="584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34"/>
        </w:trPr>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8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r>
      <w:tr>
        <w:trPr>
          <w:trHeight w:val="176"/>
        </w:trPr>
        <w:tc>
          <w:tcPr>
            <w:tcW w:w="44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Commonly Used Defined Terms</w:t>
            </w:r>
          </w:p>
        </w:tc>
        <w:tc>
          <w:tcPr>
            <w:tcW w:w="584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Cautionary Note Regarding Forward-Looking Statements</w:t>
            </w:r>
          </w:p>
        </w:tc>
        <w:tc>
          <w:tcPr>
            <w:tcW w:w="240" w:type="dxa"/>
            <w:vAlign w:val="bottom"/>
            <w:tcBorders>
              <w:bottom w:val="single" w:sz="8" w:color="CCEEFF"/>
            </w:tcBorders>
            <w:shd w:val="clear" w:color="auto" w:fill="CCEEFF"/>
          </w:tcPr>
          <w:p>
            <w:pPr>
              <w:spacing w:after="0"/>
              <w:rPr>
                <w:sz w:val="17"/>
                <w:szCs w:val="17"/>
                <w:color w:val="auto"/>
              </w:rPr>
            </w:pPr>
          </w:p>
        </w:tc>
        <w:tc>
          <w:tcPr>
            <w:tcW w:w="58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175"/>
        </w:trPr>
        <w:tc>
          <w:tcPr>
            <w:tcW w:w="44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840" w:type="dxa"/>
            <w:vAlign w:val="bottom"/>
            <w:gridSpan w:val="2"/>
          </w:tcPr>
          <w:p>
            <w:pPr>
              <w:jc w:val="center"/>
              <w:ind w:left="57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3480" w:type="dxa"/>
            <w:vAlign w:val="bottom"/>
            <w:tcBorders>
              <w:bottom w:val="single" w:sz="8" w:color="CCEEFF"/>
            </w:tcBorders>
            <w:gridSpan w:val="19"/>
            <w:shd w:val="clear" w:color="auto" w:fill="CCEEFF"/>
          </w:tcPr>
          <w:p>
            <w:pPr>
              <w:spacing w:after="0"/>
              <w:rPr>
                <w:sz w:val="17"/>
                <w:szCs w:val="17"/>
                <w:color w:val="auto"/>
              </w:rPr>
            </w:pPr>
          </w:p>
        </w:tc>
        <w:tc>
          <w:tcPr>
            <w:tcW w:w="6840" w:type="dxa"/>
            <w:vAlign w:val="bottom"/>
            <w:tcBorders>
              <w:bottom w:val="single" w:sz="8" w:color="CCEEFF"/>
            </w:tcBorders>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175"/>
        </w:trPr>
        <w:tc>
          <w:tcPr>
            <w:tcW w:w="44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6840" w:type="dxa"/>
            <w:vAlign w:val="bottom"/>
            <w:gridSpan w:val="2"/>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Capitalization</w:t>
            </w:r>
          </w:p>
        </w:tc>
        <w:tc>
          <w:tcPr>
            <w:tcW w:w="3380" w:type="dxa"/>
            <w:vAlign w:val="bottom"/>
            <w:tcBorders>
              <w:bottom w:val="single" w:sz="8" w:color="CCEEFF"/>
            </w:tcBorders>
            <w:gridSpan w:val="18"/>
            <w:shd w:val="clear" w:color="auto" w:fill="CCEEFF"/>
          </w:tcPr>
          <w:p>
            <w:pPr>
              <w:spacing w:after="0"/>
              <w:rPr>
                <w:sz w:val="17"/>
                <w:szCs w:val="17"/>
                <w:color w:val="auto"/>
              </w:rPr>
            </w:pPr>
          </w:p>
        </w:tc>
        <w:tc>
          <w:tcPr>
            <w:tcW w:w="6840" w:type="dxa"/>
            <w:vAlign w:val="bottom"/>
            <w:tcBorders>
              <w:bottom w:val="single" w:sz="8" w:color="CCEEFF"/>
            </w:tcBorders>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6"/>
        </w:trPr>
        <w:tc>
          <w:tcPr>
            <w:tcW w:w="44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840" w:type="dxa"/>
            <w:vAlign w:val="bottom"/>
            <w:gridSpan w:val="2"/>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220" w:type="dxa"/>
            <w:vAlign w:val="bottom"/>
            <w:tcBorders>
              <w:bottom w:val="single" w:sz="8" w:color="CCEEFF"/>
            </w:tcBorders>
            <w:gridSpan w:val="17"/>
            <w:shd w:val="clear" w:color="auto" w:fill="CCEEFF"/>
          </w:tcPr>
          <w:p>
            <w:pPr>
              <w:spacing w:after="0"/>
              <w:rPr>
                <w:sz w:val="17"/>
                <w:szCs w:val="17"/>
                <w:color w:val="auto"/>
              </w:rPr>
            </w:pPr>
          </w:p>
        </w:tc>
        <w:tc>
          <w:tcPr>
            <w:tcW w:w="6840" w:type="dxa"/>
            <w:vAlign w:val="bottom"/>
            <w:tcBorders>
              <w:bottom w:val="single" w:sz="8" w:color="CCEEFF"/>
            </w:tcBorders>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5"/>
        </w:trPr>
        <w:tc>
          <w:tcPr>
            <w:tcW w:w="44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6840" w:type="dxa"/>
            <w:vAlign w:val="bottom"/>
            <w:gridSpan w:val="2"/>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74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2660" w:type="dxa"/>
            <w:vAlign w:val="bottom"/>
            <w:tcBorders>
              <w:bottom w:val="single" w:sz="8" w:color="CCEEFF"/>
            </w:tcBorders>
            <w:gridSpan w:val="8"/>
            <w:shd w:val="clear" w:color="auto" w:fill="CCEEFF"/>
          </w:tcPr>
          <w:p>
            <w:pPr>
              <w:spacing w:after="0"/>
              <w:rPr>
                <w:sz w:val="17"/>
                <w:szCs w:val="17"/>
                <w:color w:val="auto"/>
              </w:rPr>
            </w:pPr>
          </w:p>
        </w:tc>
        <w:tc>
          <w:tcPr>
            <w:tcW w:w="6840" w:type="dxa"/>
            <w:vAlign w:val="bottom"/>
            <w:tcBorders>
              <w:bottom w:val="single" w:sz="8" w:color="CCEEFF"/>
            </w:tcBorders>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6"/>
        </w:trPr>
        <w:tc>
          <w:tcPr>
            <w:tcW w:w="44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6840" w:type="dxa"/>
            <w:vAlign w:val="bottom"/>
            <w:gridSpan w:val="2"/>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Units</w:t>
            </w:r>
          </w:p>
        </w:tc>
        <w:tc>
          <w:tcPr>
            <w:tcW w:w="2920" w:type="dxa"/>
            <w:vAlign w:val="bottom"/>
            <w:tcBorders>
              <w:bottom w:val="single" w:sz="8" w:color="CCEEFF"/>
            </w:tcBorders>
            <w:gridSpan w:val="13"/>
            <w:shd w:val="clear" w:color="auto" w:fill="CCEEFF"/>
          </w:tcPr>
          <w:p>
            <w:pPr>
              <w:spacing w:after="0"/>
              <w:rPr>
                <w:sz w:val="17"/>
                <w:szCs w:val="17"/>
                <w:color w:val="auto"/>
              </w:rPr>
            </w:pPr>
          </w:p>
        </w:tc>
        <w:tc>
          <w:tcPr>
            <w:tcW w:w="6840" w:type="dxa"/>
            <w:vAlign w:val="bottom"/>
            <w:tcBorders>
              <w:bottom w:val="single" w:sz="8" w:color="CCEEFF"/>
            </w:tcBorders>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6"/>
        </w:trPr>
        <w:tc>
          <w:tcPr>
            <w:tcW w:w="44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840" w:type="dxa"/>
            <w:vAlign w:val="bottom"/>
            <w:gridSpan w:val="2"/>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Taxation</w:t>
            </w:r>
          </w:p>
        </w:tc>
        <w:tc>
          <w:tcPr>
            <w:tcW w:w="3760" w:type="dxa"/>
            <w:vAlign w:val="bottom"/>
            <w:tcBorders>
              <w:bottom w:val="single" w:sz="8" w:color="CCEEFF"/>
            </w:tcBorders>
            <w:gridSpan w:val="21"/>
            <w:shd w:val="clear" w:color="auto" w:fill="CCEEFF"/>
          </w:tcPr>
          <w:p>
            <w:pPr>
              <w:spacing w:after="0"/>
              <w:rPr>
                <w:sz w:val="17"/>
                <w:szCs w:val="17"/>
                <w:color w:val="auto"/>
              </w:rPr>
            </w:pPr>
          </w:p>
        </w:tc>
        <w:tc>
          <w:tcPr>
            <w:tcW w:w="6840" w:type="dxa"/>
            <w:vAlign w:val="bottom"/>
            <w:tcBorders>
              <w:bottom w:val="single" w:sz="8" w:color="CCEEFF"/>
            </w:tcBorders>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5"/>
        </w:trPr>
        <w:tc>
          <w:tcPr>
            <w:tcW w:w="44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Selling Shareholders</w:t>
            </w:r>
          </w:p>
        </w:tc>
        <w:tc>
          <w:tcPr>
            <w:tcW w:w="6840" w:type="dxa"/>
            <w:vAlign w:val="bottom"/>
            <w:gridSpan w:val="2"/>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44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Expenses</w:t>
            </w:r>
          </w:p>
        </w:tc>
        <w:tc>
          <w:tcPr>
            <w:tcW w:w="6840" w:type="dxa"/>
            <w:vAlign w:val="bottom"/>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4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Material Contracts</w:t>
            </w:r>
          </w:p>
        </w:tc>
        <w:tc>
          <w:tcPr>
            <w:tcW w:w="6840" w:type="dxa"/>
            <w:vAlign w:val="bottom"/>
            <w:gridSpan w:val="2"/>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4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Changes</w:t>
            </w:r>
          </w:p>
        </w:tc>
        <w:tc>
          <w:tcPr>
            <w:tcW w:w="6840" w:type="dxa"/>
            <w:vAlign w:val="bottom"/>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6"/>
        </w:trPr>
        <w:tc>
          <w:tcPr>
            <w:tcW w:w="128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3120" w:type="dxa"/>
            <w:vAlign w:val="bottom"/>
            <w:tcBorders>
              <w:top w:val="single" w:sz="8" w:color="CCEEFF"/>
            </w:tcBorders>
            <w:gridSpan w:val="16"/>
          </w:tcPr>
          <w:p>
            <w:pPr>
              <w:spacing w:after="0"/>
              <w:rPr>
                <w:sz w:val="15"/>
                <w:szCs w:val="15"/>
                <w:color w:val="auto"/>
              </w:rPr>
            </w:pPr>
          </w:p>
        </w:tc>
        <w:tc>
          <w:tcPr>
            <w:tcW w:w="6840" w:type="dxa"/>
            <w:vAlign w:val="bottom"/>
            <w:tcBorders>
              <w:top w:val="single" w:sz="8" w:color="CCEEFF"/>
            </w:tcBorders>
            <w:gridSpan w:val="2"/>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3840" w:type="dxa"/>
            <w:vAlign w:val="bottom"/>
            <w:tcBorders>
              <w:bottom w:val="single" w:sz="8" w:color="CCEEFF"/>
            </w:tcBorders>
            <w:gridSpan w:val="23"/>
            <w:shd w:val="clear" w:color="auto" w:fill="CCEEFF"/>
          </w:tcPr>
          <w:p>
            <w:pPr>
              <w:spacing w:after="0"/>
              <w:rPr>
                <w:sz w:val="17"/>
                <w:szCs w:val="17"/>
                <w:color w:val="auto"/>
              </w:rPr>
            </w:pPr>
          </w:p>
        </w:tc>
        <w:tc>
          <w:tcPr>
            <w:tcW w:w="6840" w:type="dxa"/>
            <w:vAlign w:val="bottom"/>
            <w:tcBorders>
              <w:bottom w:val="single" w:sz="8" w:color="CCEEFF"/>
            </w:tcBorders>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5"/>
        </w:trPr>
        <w:tc>
          <w:tcPr>
            <w:tcW w:w="44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6840" w:type="dxa"/>
            <w:vAlign w:val="bottom"/>
            <w:gridSpan w:val="2"/>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Additional Information</w:t>
            </w:r>
          </w:p>
        </w:tc>
        <w:tc>
          <w:tcPr>
            <w:tcW w:w="1140" w:type="dxa"/>
            <w:vAlign w:val="bottom"/>
            <w:tcBorders>
              <w:bottom w:val="single" w:sz="8" w:color="CCEEFF"/>
            </w:tcBorders>
            <w:gridSpan w:val="2"/>
            <w:shd w:val="clear" w:color="auto" w:fill="CCEEFF"/>
          </w:tcPr>
          <w:p>
            <w:pPr>
              <w:spacing w:after="0"/>
              <w:rPr>
                <w:sz w:val="17"/>
                <w:szCs w:val="17"/>
                <w:color w:val="auto"/>
              </w:rPr>
            </w:pPr>
          </w:p>
        </w:tc>
        <w:tc>
          <w:tcPr>
            <w:tcW w:w="6840" w:type="dxa"/>
            <w:vAlign w:val="bottom"/>
            <w:tcBorders>
              <w:bottom w:val="single" w:sz="8" w:color="CCEEFF"/>
            </w:tcBorders>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6"/>
        </w:trPr>
        <w:tc>
          <w:tcPr>
            <w:tcW w:w="2420" w:type="dxa"/>
            <w:vAlign w:val="bottom"/>
            <w:tcBorders>
              <w:bottom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w w:val="99"/>
              </w:rPr>
              <w:t>Enforceability of Civil Liabilities</w:t>
            </w:r>
          </w:p>
        </w:tc>
        <w:tc>
          <w:tcPr>
            <w:tcW w:w="1980" w:type="dxa"/>
            <w:vAlign w:val="bottom"/>
            <w:gridSpan w:val="5"/>
          </w:tcPr>
          <w:p>
            <w:pPr>
              <w:spacing w:after="0"/>
              <w:rPr>
                <w:sz w:val="15"/>
                <w:szCs w:val="15"/>
                <w:color w:val="auto"/>
              </w:rPr>
            </w:pPr>
          </w:p>
        </w:tc>
        <w:tc>
          <w:tcPr>
            <w:tcW w:w="6840" w:type="dxa"/>
            <w:vAlign w:val="bottom"/>
            <w:gridSpan w:val="2"/>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utilizing a “shelf” registration process. Under this shelf registration process, we or any selling shareholder may, at any time and from time to time, offer and/or sell the securities described in this prospectus in one or more offerings, up to a total offering amount of $300,000,000.</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or selling shareholders may offer. This prospectus and any accompanying prospectus supplement do not contain all the information included in the registration statement. We have omitted parts of the registration statement in accordance with the rules and regulations of the SEC. Statements in this prospectus and any accompanying prospectus supplement about the provisions or contents of any agreement or other documents are not necessarily complete. If the SEC rules and regulations require that an agreement or other document be filed as an exhibit to the registration statement, please see that agreement or document for a complete description of the matters. You should read both this prospectus and any prospectus supplement or other offering materials together with additional information described under the headings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Additional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Documents by Reference</w:t>
      </w:r>
      <w:r>
        <w:rPr>
          <w:rFonts w:ascii="Times New Roman" w:cs="Times New Roman" w:eastAsia="Times New Roman" w:hAnsi="Times New Roman"/>
          <w:sz w:val="18"/>
          <w:szCs w:val="18"/>
          <w:color w:val="auto"/>
        </w:rPr>
        <w:t>” before investing in any of the securities offered.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time we sell securities under this shelf registration, we will provide a prospectus supplement that will contain certain specific information about the terms of that offering, including a description of any risks related to the offering. A prospectus supplement may also add, update, or change information contained in this prospectus (including documents incorporated herein by reference). If there is any inconsistency between the information in this prospectus and the applicable prospectus supplement, you should rely on the information in the prospectus supplement. The registration statement we filed with the SEC includes exhibits that provide more details on the matters discussed in this prospectus. You should read this prospectus and the related exhibits filed with the SEC and the accompanying prospectus supplement together with additional information described under the headings “</w:t>
      </w:r>
      <w:r>
        <w:rPr>
          <w:rFonts w:ascii="Times New Roman" w:cs="Times New Roman" w:eastAsia="Times New Roman" w:hAnsi="Times New Roman"/>
          <w:sz w:val="18"/>
          <w:szCs w:val="18"/>
          <w:i w:val="1"/>
          <w:iCs w:val="1"/>
          <w:color w:val="auto"/>
        </w:rPr>
        <w:t>Incorporation of Documents by Reference</w:t>
      </w:r>
      <w:r>
        <w:rPr>
          <w:rFonts w:ascii="Times New Roman" w:cs="Times New Roman" w:eastAsia="Times New Roman" w:hAnsi="Times New Roman"/>
          <w:sz w:val="18"/>
          <w:szCs w:val="18"/>
          <w:color w:val="auto"/>
        </w:rPr>
        <w:t>” before investing in any of the securities offered.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prospectus is accurate as of the date on the front cover. The information incorporated by reference into this prospectus is accurate as of the date of the document from which the information is incorporated. You should not assume that the information contained in this prospectus is accurate as of any other date.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provided or incorporated by reference in this prospectus or in the prospectus supplement. We have not authorized anyone to provide you with additional or different information. This document may only be used where it is legal to sell these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permitted by SEC rules and regulations, the registration statement of which this prospectus forms a part includes additional information not contained in this prospectus. You may read the registration statement and the other reports we file with the SEC at its website or at its offices described under “</w:t>
      </w:r>
      <w:r>
        <w:rPr>
          <w:rFonts w:ascii="Times New Roman" w:cs="Times New Roman" w:eastAsia="Times New Roman" w:hAnsi="Times New Roman"/>
          <w:sz w:val="18"/>
          <w:szCs w:val="18"/>
          <w:i w:val="1"/>
          <w:iCs w:val="1"/>
          <w:color w:val="auto"/>
        </w:rPr>
        <w:t>Where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Can Find Additional Information</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COMMONLY USED DEFINED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or the context requires otherwise, references in this prospectus or in a prospectus supplement to:</w:t>
      </w:r>
    </w:p>
    <w:p>
      <w:pPr>
        <w:spacing w:after="0" w:line="225" w:lineRule="exact"/>
        <w:rPr>
          <w:sz w:val="20"/>
          <w:szCs w:val="20"/>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“Chanson 23rd Street” are to Chanson 23rd Street LLC, a New York limited liability company, which is wholly owned by Chanson NY (as defined below);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“Chanson 3rd Ave” are to Chanson 1293 3rd Ave LLC, a New York limited liability company, which is wholly owned by Chanson 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“Chanson Broadway” are to Chanson 2040 Broadway LLC, a New York limited liability company, which is wholly owned by Chanson NY;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“Chanson Greenwich” are to Chanson 355 Greenwich LLC, a New York limited liability company, which was wholly owned by Chanson NY and dissolved on August 28,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“Chanson International,” “we,” “us,” “our Company,” or the “Company” are to Chanson International Holding, an exempted company with limited liability incorporated and registered under the laws of Cayman Islands;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“Chanson NY” are to George Chanson (NY) Corp., a New York corporation, which is wholly owned by Xinjiang United Family (as defined below);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are to the People’s Republic of China;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to Class A ordinary shares of Chanson International, par value $0.08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to Class B ordinary shares of Chanson International, par value $0.08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“Deen Global” are to our wholly owned subsidiary, Deen Global Limited, a British Virgin Islands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“Jenyd” are to Deen Global’s wholly owned subsidiary, Jenyd Holdings Limited, a Hong Kong corporation;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or “Ordinary Shares” are to Class A Ordinary Shares and Class B Ordinary Shares, collectively;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entities” are to Xinjiang United Family and its branch offices, the VIEs, and the U.S. Stores (as defined below);</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Stores” are to a bakery chain consisting of 55 stores in business operated by Xinjiang United Family and the VIEs under our “George ChansonTM” brand in Xinjiang;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Stores” are to Chanson 23rd Street, Chanson Broadway and Chanson 3rd Ave;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“September 2024 Offering” means the follow-on public offering of the Company closed on September 17, 2024 pursuant to which the Company sold (i) 8,980,251 Class A Ordinary Shares, and (ii) 8,980,251 common warrants to purchase 8,980,251 Class A Ordinary Shares, at an exercise price of $0.972 per shares, at a combined public offering price of $0.81 per share and accompanying common warrant;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are to generally accepted accounting principles in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 are to variable interest entity;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“Xinjiang” are to the Xinjiang Uygur Autonomous Region of the PRC;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“Xinjiang United Family” or “our PRC subsidiary” are to Xinjiang United Family Trading Co., Ltd., a limited liability company organized under the laws of the PRC, which is wholly owned by Jenyd.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any applicable prospectus supplement, and our SEC filings that are incorporated by reference into this prospectus contain or incorporate by reference forward-looking statements within the meaning of Section 27A of the Securities Act and Section 21E of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The words “believe,” “anticipate,” “estimate,” “plan,” “expect,” “intend,” “may,” “could,” “should,” “potential,” “likely,” “projects,” “continue,” “will,” and “would” and similar expressions are intended to identify forward-looking statements, although not all forward-looking statements contain these identifying words. Forward-looking statements reflect our current views with respect to future events, are based on assumptions, and are subject to risks and uncertainties. We cannot guarantee that we actually will achieve the plans, intentions, or expectations expressed in our forward-looking statements and you should not place undue reliance on these statements. There are a number of important factors that could cause our actual results to differ materially from those indicated or implied by forward-looking statements. These important factors include those discussed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3716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27875" cy="3716020"/>
                    </a:xfrm>
                    <a:prstGeom prst="rect">
                      <a:avLst/>
                    </a:prstGeom>
                    <a:noFill/>
                  </pic:spPr>
                </pic:pic>
              </a:graphicData>
            </a:graphic>
          </wp:anchor>
        </w:drawing>
        <w:t>PROSPECTUS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and not a Chinese operating company. As of the date of this prospectus, as a holding company with no material operations of our own, we conduct our business through:</w:t>
      </w:r>
    </w:p>
    <w:p>
      <w:pPr>
        <w:spacing w:after="0" w:line="162" w:lineRule="exact"/>
        <w:rPr>
          <w:sz w:val="20"/>
          <w:szCs w:val="20"/>
          <w:color w:val="auto"/>
        </w:rPr>
      </w:pPr>
    </w:p>
    <w:p>
      <w:pPr>
        <w:jc w:val="both"/>
        <w:ind w:left="640" w:right="20" w:hanging="324"/>
        <w:spacing w:after="0" w:line="253"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association between Xinjiang United Family and the VIEs known as the “United Family Group” or “UFG”: 53 of the entities that comprise UFG (each a “UFG Entity” and, collectively, the “UFG Entities”) are owned independently by the chairman of our board of directors (“the Chairman”), Mr. Gang Li, and two of the entities are owned independently by Ms. Hui Wang, the Marketing Director of Xinjiang United Family. Mr. Gang Li and Ms. Hui Wang are referred herein individually as a “UFG Operator” and collectively as the “UFG Operators.” For accounting purposes, we control and receive the economic benefits of the UFG Entities through the VIE Agreements, which enable us to consolidate the financial results of the VIEs in our consolidated financial statements under U.S. GAAP, and the structure involves unique risks to investors. For more details on the United Family Group, please see “</w:t>
      </w:r>
      <w:r>
        <w:rPr>
          <w:rFonts w:ascii="Times New Roman" w:cs="Times New Roman" w:eastAsia="Times New Roman" w:hAnsi="Times New Roman"/>
          <w:sz w:val="18"/>
          <w:szCs w:val="18"/>
          <w:i w:val="1"/>
          <w:iCs w:val="1"/>
          <w:color w:val="auto"/>
        </w:rPr>
        <w:t>—The United Family Group</w:t>
      </w:r>
      <w:r>
        <w:rPr>
          <w:rFonts w:ascii="Times New Roman" w:cs="Times New Roman" w:eastAsia="Times New Roman" w:hAnsi="Times New Roman"/>
          <w:sz w:val="18"/>
          <w:szCs w:val="18"/>
          <w:color w:val="auto"/>
        </w:rPr>
        <w:t>.” Our Class A Ordinary Shares are shares of Chanson International, the offshore holding company in the Cayman Islands, instead of shares of Xinjiang United Family or the UFG Entities. The VIE structure provides contractual exposure to foreign investment in China-based companies. Chinese law, however, does not prohibit direct foreign investment in the VIEs. As a result of our use of the VIE structure, investors may never directly hold equity interests in the UFG Entities;</w:t>
      </w:r>
    </w:p>
    <w:p>
      <w:pPr>
        <w:spacing w:after="0" w:line="19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Xinjiang United Family and its three branches; and</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Chanson 23rd Street, Chanson 3rd Ave and Chanson Broadway.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455" w:right="459" w:bottom="1440" w:gutter="0" w:footer="0" w:header="0"/>
        </w:sectPr>
      </w:pPr>
    </w:p>
    <w:bookmarkStart w:id="30" w:name="page31"/>
    <w:bookmarkEnd w:id="30"/>
    <w:p>
      <w:pPr>
        <w:ind w:left="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313690</wp:posOffset>
            </wp:positionV>
            <wp:extent cx="7127875" cy="5516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27875" cy="5516245"/>
                    </a:xfrm>
                    <a:prstGeom prst="rect">
                      <a:avLst/>
                    </a:prstGeom>
                    <a:noFill/>
                  </pic:spPr>
                </pic:pic>
              </a:graphicData>
            </a:graphic>
          </wp:anchor>
        </w:drawing>
        <w:t>The following diagram illustrates our corporate structure as of the date of this prospectus, without taking into account the effect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Notes: All percentages reflect the voting ownership interests instead of the equity interests held by each of our shareholders given that each holder of Class B Ordinary Shares will be entitled to 50 votes per one Class B Ordinary Share and each holder of Class A Ordinary Shares will be entitled to one vote per one Class A Ordinary Share.</w:t>
      </w:r>
    </w:p>
    <w:p>
      <w:pPr>
        <w:spacing w:after="0" w:line="176" w:lineRule="exact"/>
        <w:rPr>
          <w:sz w:val="20"/>
          <w:szCs w:val="20"/>
          <w:color w:val="auto"/>
        </w:rPr>
      </w:pPr>
    </w:p>
    <w:p>
      <w:pPr>
        <w:ind w:left="328" w:right="20"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2,700,000 Class A Ordinary Shares and 5,670,000 Class B Ordinary Shares beneficially owned by Gang Li, the 100% owner of Danton Global Limited, as of the date of this prospectus.</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270,000 Class A Ordinary Shares beneficially owned by Jihong Cai, the 100% owner of Haily Global Limited, as of the date of this prospectus.</w:t>
      </w:r>
    </w:p>
    <w:p>
      <w:pPr>
        <w:spacing w:after="0" w:line="200" w:lineRule="exact"/>
        <w:rPr>
          <w:sz w:val="20"/>
          <w:szCs w:val="20"/>
          <w:color w:val="auto"/>
        </w:rPr>
      </w:pPr>
    </w:p>
    <w:p>
      <w:pPr>
        <w:spacing w:after="0" w:line="29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8"/>
          </w:cols>
          <w:pgMar w:left="452" w:top="810" w:right="459" w:bottom="1440" w:gutter="0" w:footer="0" w:header="0"/>
        </w:sectPr>
      </w:pPr>
    </w:p>
    <w:bookmarkStart w:id="31" w:name="page32"/>
    <w:bookmarkEnd w:id="31"/>
    <w:p>
      <w:pPr>
        <w:ind w:left="140"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313690</wp:posOffset>
            </wp:positionV>
            <wp:extent cx="7127875" cy="5241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27875" cy="5241925"/>
                    </a:xfrm>
                    <a:prstGeom prst="rect">
                      <a:avLst/>
                    </a:prstGeom>
                    <a:noFill/>
                  </pic:spPr>
                </pic:pic>
              </a:graphicData>
            </a:graphic>
          </wp:anchor>
        </w:drawing>
        <w:t>The following is a complete list of the stores of Xinjiang United Family and UFG as of the date of this prospectus, together with their recognized commercial name and relationship to Xinjiang United Family.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8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Legal Name of Entity</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Commercial Name</w:t>
            </w:r>
          </w:p>
        </w:tc>
        <w:tc>
          <w:tcPr>
            <w:tcW w:w="330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Nature of Entity</w:t>
            </w: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w:t>
            </w:r>
          </w:p>
        </w:tc>
        <w:tc>
          <w:tcPr>
            <w:tcW w:w="50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Urumqi Midong District George Chanson Bakery</w:t>
            </w: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Midong</w:t>
            </w:r>
          </w:p>
        </w:tc>
        <w:tc>
          <w:tcPr>
            <w:tcW w:w="120" w:type="dxa"/>
            <w:vAlign w:val="bottom"/>
            <w:tcBorders>
              <w:top w:val="single" w:sz="8" w:color="CCEEFF"/>
            </w:tcBorders>
            <w:shd w:val="clear" w:color="auto" w:fill="CCEEFF"/>
          </w:tcPr>
          <w:p>
            <w:pPr>
              <w:spacing w:after="0"/>
              <w:rPr>
                <w:sz w:val="17"/>
                <w:szCs w:val="17"/>
                <w:color w:val="auto"/>
              </w:rPr>
            </w:pPr>
          </w:p>
        </w:tc>
        <w:tc>
          <w:tcPr>
            <w:tcW w:w="31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Part of UFG – owned 100% by Mr. Gang</w:t>
            </w: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 and operated under VIE agreements</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among Mr. Gang Li, this entity, and</w:t>
            </w:r>
          </w:p>
        </w:tc>
        <w:tc>
          <w:tcPr>
            <w:tcW w:w="1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Xinjiang United Family</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Shayibake District Yining Rd. George Chanson Bakery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Dehui Wanda</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Changji George Chanson Bakery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Changji Huijia</w:t>
            </w: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Tianshan District Xinhua North Rd. George Chanson Bakery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Hongshan</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Tianshan District Xinmin Rd. George Chanson Bakery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Beimen</w:t>
            </w: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Tianshan District Minzhu Rd. George Chanson Bakery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Minzhu</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Tianshan District Jianquan No.3 Rd. George Chanson Bakery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Riyue Xingguang</w:t>
            </w: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Tianshan District Jiefang North Rd. George Chanson Bakery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Wanyancheng</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9</w:t>
            </w:r>
          </w:p>
        </w:tc>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Urumqi Economics and Technology Development District George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Huarun Wanjia</w:t>
            </w:r>
          </w:p>
        </w:tc>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Chanson Bakery on Kashi West Rd.</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Xinshi District Changchun South Rd. George Chanson Bakery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Changchun Road</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Xinshi District Beijing Middle Rd. United Family Chanson Bakery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Huijia Third Floor</w:t>
            </w: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Xinshi District Suzhou East Rd. Chanson Bakery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Baishang</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Xinshi District South No.3 Rd. Chanson Bakery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Railway Bureau</w:t>
            </w: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14</w:t>
            </w:r>
          </w:p>
        </w:tc>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Urumqi Economics and Technology Development District George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Economics Development</w:t>
            </w:r>
          </w:p>
        </w:tc>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Chanson Bakery on Xuanwuhu Rd.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Wanda</w:t>
            </w:r>
          </w:p>
        </w:tc>
        <w:tc>
          <w:tcPr>
            <w:tcW w:w="31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Shayibake District Youhao South Rd. Chanson Bakery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Hongshan Lifestyle Store</w:t>
            </w: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Shuimogou District South Nanhu Rd. George Chanson Bakery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Nanhu</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w:t>
            </w: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Xinshi District Hebei East Rd. George Chanson Bakery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Hebei Road Huarun</w:t>
            </w: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18</w:t>
            </w:r>
          </w:p>
        </w:tc>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Urumqi Toutunhe District George Chanson Bakery on Zhongya South</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Degang Wanda</w:t>
            </w:r>
          </w:p>
        </w:tc>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w:t>
            </w: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Shayibake District Karamay West Rd. Chanson Bakery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Xinbei Yuanchun</w:t>
            </w: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20</w:t>
            </w:r>
          </w:p>
        </w:tc>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Shayibake District Qitai Rd. Hemeijia Chanson Bakery</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Dehui Wangda Fourth</w:t>
            </w:r>
          </w:p>
        </w:tc>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Floor</w:t>
            </w:r>
          </w:p>
        </w:tc>
        <w:tc>
          <w:tcPr>
            <w:tcW w:w="31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21</w:t>
            </w:r>
          </w:p>
        </w:tc>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Tianshan District Qingnian Rd. Chanson Bakery</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Qingnian Road</w:t>
            </w:r>
          </w:p>
        </w:tc>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Haojiaxiang</w:t>
            </w:r>
          </w:p>
        </w:tc>
        <w:tc>
          <w:tcPr>
            <w:tcW w:w="316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Xinshi District Liyushan North Rd. Hemeijia Bakery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Vanke Jincheng Huafu</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Xinshi District Changchun North Rd. Chanson Bakery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Gaoxin Wanda</w:t>
            </w: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Pr>
          <w:p>
            <w:pPr>
              <w:spacing w:after="0"/>
              <w:rPr>
                <w:sz w:val="18"/>
                <w:szCs w:val="18"/>
                <w:color w:val="auto"/>
              </w:rPr>
            </w:pPr>
          </w:p>
        </w:tc>
      </w:tr>
      <w:tr>
        <w:trPr>
          <w:trHeight w:val="314"/>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0"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4"/>
        </w:trPr>
        <w:tc>
          <w:tcPr>
            <w:tcW w:w="40" w:type="dxa"/>
            <w:vAlign w:val="bottom"/>
            <w:tcBorders>
              <w:right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100" w:type="dxa"/>
            <w:vAlign w:val="bottom"/>
            <w:tcBorders>
              <w:top w:val="single" w:sz="8" w:color="auto"/>
            </w:tcBorders>
          </w:tcPr>
          <w:p>
            <w:pPr>
              <w:spacing w:after="0"/>
              <w:rPr>
                <w:sz w:val="24"/>
                <w:szCs w:val="24"/>
                <w:color w:val="auto"/>
              </w:rPr>
            </w:pPr>
          </w:p>
        </w:tc>
        <w:tc>
          <w:tcPr>
            <w:tcW w:w="2420" w:type="dxa"/>
            <w:vAlign w:val="bottom"/>
            <w:tcBorders>
              <w:top w:val="single" w:sz="8" w:color="auto"/>
            </w:tcBorders>
          </w:tcPr>
          <w:p>
            <w:pPr>
              <w:spacing w:after="0"/>
              <w:rPr>
                <w:sz w:val="24"/>
                <w:szCs w:val="24"/>
                <w:color w:val="auto"/>
              </w:rPr>
            </w:pPr>
          </w:p>
        </w:tc>
        <w:tc>
          <w:tcPr>
            <w:tcW w:w="320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w:t>
            </w:r>
          </w:p>
        </w:tc>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Shayibake District Youhao North Road Chanson Coffee Bakery</w:t>
            </w:r>
          </w:p>
        </w:tc>
        <w:tc>
          <w:tcPr>
            <w:tcW w:w="2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Soul●Song Meimei No. 2</w:t>
            </w:r>
          </w:p>
        </w:tc>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18"/>
                <w:szCs w:val="18"/>
                <w:color w:val="auto"/>
              </w:rPr>
            </w:pPr>
          </w:p>
        </w:tc>
      </w:tr>
      <w:tr>
        <w:trPr>
          <w:trHeight w:val="198"/>
        </w:trPr>
        <w:tc>
          <w:tcPr>
            <w:tcW w:w="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25</w:t>
            </w:r>
          </w:p>
        </w:tc>
        <w:tc>
          <w:tcPr>
            <w:tcW w:w="51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Tianshan District Jiefang North Rd. Chanson Coffee Bakery</w:t>
            </w:r>
          </w:p>
        </w:tc>
        <w:tc>
          <w:tcPr>
            <w:tcW w:w="24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Soul●Song Wanyan</w:t>
            </w:r>
          </w:p>
        </w:tc>
        <w:tc>
          <w:tcPr>
            <w:tcW w:w="32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17"/>
                <w:szCs w:val="17"/>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Cheng</w:t>
            </w:r>
          </w:p>
        </w:tc>
        <w:tc>
          <w:tcPr>
            <w:tcW w:w="32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w:t>
            </w:r>
          </w:p>
        </w:tc>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Tianshan District Wenhua Rd. Chanson Coffee Bakery</w:t>
            </w:r>
          </w:p>
        </w:tc>
        <w:tc>
          <w:tcPr>
            <w:tcW w:w="2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Soul●Song Wenhua Road</w:t>
            </w:r>
          </w:p>
        </w:tc>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w:t>
            </w: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Tianshan District Minzhu Rd. Heimeijie Coffee and Food Store</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Soul●Song Minzhu Road</w:t>
            </w:r>
          </w:p>
        </w:tc>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w:t>
            </w:r>
          </w:p>
        </w:tc>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Tianshan District Cuiquan Rd. George Chanson Bakery</w:t>
            </w:r>
          </w:p>
        </w:tc>
        <w:tc>
          <w:tcPr>
            <w:tcW w:w="2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Vanke Tianshanli</w:t>
            </w:r>
          </w:p>
        </w:tc>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18"/>
                <w:szCs w:val="18"/>
                <w:color w:val="auto"/>
              </w:rPr>
            </w:pPr>
          </w:p>
        </w:tc>
      </w:tr>
      <w:tr>
        <w:trPr>
          <w:trHeight w:val="198"/>
        </w:trPr>
        <w:tc>
          <w:tcPr>
            <w:tcW w:w="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29</w:t>
            </w:r>
          </w:p>
        </w:tc>
        <w:tc>
          <w:tcPr>
            <w:tcW w:w="51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Tianshan District Cuiquan Rd. Coffee and Food Store</w:t>
            </w:r>
          </w:p>
        </w:tc>
        <w:tc>
          <w:tcPr>
            <w:tcW w:w="24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Soul●Song Vanke</w:t>
            </w:r>
          </w:p>
        </w:tc>
        <w:tc>
          <w:tcPr>
            <w:tcW w:w="32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17"/>
                <w:szCs w:val="17"/>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Tianshanli</w:t>
            </w:r>
          </w:p>
        </w:tc>
        <w:tc>
          <w:tcPr>
            <w:tcW w:w="32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r>
      <w:tr>
        <w:trPr>
          <w:trHeight w:val="198"/>
        </w:trPr>
        <w:tc>
          <w:tcPr>
            <w:tcW w:w="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30</w:t>
            </w:r>
          </w:p>
        </w:tc>
        <w:tc>
          <w:tcPr>
            <w:tcW w:w="510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Xinshi District Changchun North Rd. Chanson Coffee and Food</w:t>
            </w:r>
          </w:p>
        </w:tc>
        <w:tc>
          <w:tcPr>
            <w:tcW w:w="24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Soul●Song Gaoxin</w:t>
            </w:r>
          </w:p>
        </w:tc>
        <w:tc>
          <w:tcPr>
            <w:tcW w:w="32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17"/>
                <w:szCs w:val="17"/>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Store</w:t>
            </w:r>
          </w:p>
        </w:tc>
        <w:tc>
          <w:tcPr>
            <w:tcW w:w="2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Wanda</w:t>
            </w:r>
          </w:p>
        </w:tc>
        <w:tc>
          <w:tcPr>
            <w:tcW w:w="3200" w:type="dxa"/>
            <w:vAlign w:val="bottom"/>
            <w:shd w:val="clear" w:color="auto" w:fill="CCEEFF"/>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31</w:t>
            </w: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Tianshan District Wenhua Rd. Chanson Coffee and Food Store</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Soul●Song Mali Hospital</w:t>
            </w:r>
          </w:p>
        </w:tc>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18"/>
                <w:szCs w:val="18"/>
                <w:color w:val="auto"/>
              </w:rPr>
            </w:pPr>
          </w:p>
        </w:tc>
      </w:tr>
      <w:tr>
        <w:trPr>
          <w:trHeight w:val="198"/>
        </w:trPr>
        <w:tc>
          <w:tcPr>
            <w:tcW w:w="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32</w:t>
            </w:r>
          </w:p>
        </w:tc>
        <w:tc>
          <w:tcPr>
            <w:tcW w:w="510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Urumqi Economics and Technology Development District Toutunhe</w:t>
            </w:r>
          </w:p>
        </w:tc>
        <w:tc>
          <w:tcPr>
            <w:tcW w:w="24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Soul●Song Aidi Dajiang</w:t>
            </w:r>
          </w:p>
        </w:tc>
        <w:tc>
          <w:tcPr>
            <w:tcW w:w="32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17"/>
                <w:szCs w:val="17"/>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Chanson Coffee and Food Store</w:t>
            </w:r>
          </w:p>
        </w:tc>
        <w:tc>
          <w:tcPr>
            <w:tcW w:w="2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33</w:t>
            </w: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Tianshan District Dongquan Rd. United Family Chanson Bakery</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Shijie Guanjun No.1</w:t>
            </w:r>
          </w:p>
        </w:tc>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w:t>
            </w:r>
          </w:p>
        </w:tc>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Tianshan District Dongquan Rd. United Family Bakery</w:t>
            </w:r>
          </w:p>
        </w:tc>
        <w:tc>
          <w:tcPr>
            <w:tcW w:w="2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Shijie Guanjun No.2</w:t>
            </w:r>
          </w:p>
        </w:tc>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18"/>
                <w:szCs w:val="18"/>
                <w:color w:val="auto"/>
              </w:rPr>
            </w:pPr>
          </w:p>
        </w:tc>
      </w:tr>
      <w:tr>
        <w:trPr>
          <w:trHeight w:val="198"/>
        </w:trPr>
        <w:tc>
          <w:tcPr>
            <w:tcW w:w="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35</w:t>
            </w:r>
          </w:p>
        </w:tc>
        <w:tc>
          <w:tcPr>
            <w:tcW w:w="51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Shuimogou District Wenquan North Rd. United Family Chanson</w:t>
            </w:r>
          </w:p>
        </w:tc>
        <w:tc>
          <w:tcPr>
            <w:tcW w:w="24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Shijie Gongyuan</w:t>
            </w:r>
          </w:p>
        </w:tc>
        <w:tc>
          <w:tcPr>
            <w:tcW w:w="32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17"/>
                <w:szCs w:val="17"/>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Bakery</w:t>
            </w:r>
          </w:p>
        </w:tc>
        <w:tc>
          <w:tcPr>
            <w:tcW w:w="2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w:t>
            </w:r>
          </w:p>
        </w:tc>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Xinshi District Changchun South Rd. United Family Bakery</w:t>
            </w:r>
          </w:p>
        </w:tc>
        <w:tc>
          <w:tcPr>
            <w:tcW w:w="2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Meiju Phase Three Store</w:t>
            </w:r>
          </w:p>
        </w:tc>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18"/>
                <w:szCs w:val="18"/>
                <w:color w:val="auto"/>
              </w:rPr>
            </w:pPr>
          </w:p>
        </w:tc>
      </w:tr>
      <w:tr>
        <w:trPr>
          <w:trHeight w:val="198"/>
        </w:trPr>
        <w:tc>
          <w:tcPr>
            <w:tcW w:w="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37</w:t>
            </w:r>
          </w:p>
        </w:tc>
        <w:tc>
          <w:tcPr>
            <w:tcW w:w="51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Xinshi District Changsha Rd. United Family Chanson Bakery</w:t>
            </w:r>
          </w:p>
        </w:tc>
        <w:tc>
          <w:tcPr>
            <w:tcW w:w="24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Zhongnan Shangyue</w:t>
            </w:r>
          </w:p>
        </w:tc>
        <w:tc>
          <w:tcPr>
            <w:tcW w:w="32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17"/>
                <w:szCs w:val="17"/>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Cheng store</w:t>
            </w:r>
          </w:p>
        </w:tc>
        <w:tc>
          <w:tcPr>
            <w:tcW w:w="32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w:t>
            </w:r>
          </w:p>
        </w:tc>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Xinshi District Yinbin Rd. United Family George Chanson Bakery</w:t>
            </w:r>
          </w:p>
        </w:tc>
        <w:tc>
          <w:tcPr>
            <w:tcW w:w="2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Laiyin Zhuangyuan Store</w:t>
            </w:r>
          </w:p>
        </w:tc>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18"/>
                <w:szCs w:val="18"/>
                <w:color w:val="auto"/>
              </w:rPr>
            </w:pPr>
          </w:p>
        </w:tc>
      </w:tr>
      <w:tr>
        <w:trPr>
          <w:trHeight w:val="198"/>
        </w:trPr>
        <w:tc>
          <w:tcPr>
            <w:tcW w:w="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39</w:t>
            </w:r>
          </w:p>
        </w:tc>
        <w:tc>
          <w:tcPr>
            <w:tcW w:w="51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Xinshi District Suzhou East Rd. United Family Chanson Bakery</w:t>
            </w:r>
          </w:p>
        </w:tc>
        <w:tc>
          <w:tcPr>
            <w:tcW w:w="24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Xinzhou City Garden</w:t>
            </w:r>
          </w:p>
        </w:tc>
        <w:tc>
          <w:tcPr>
            <w:tcW w:w="32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17"/>
                <w:szCs w:val="17"/>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Store</w:t>
            </w:r>
          </w:p>
        </w:tc>
        <w:tc>
          <w:tcPr>
            <w:tcW w:w="32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r>
      <w:tr>
        <w:trPr>
          <w:trHeight w:val="198"/>
        </w:trPr>
        <w:tc>
          <w:tcPr>
            <w:tcW w:w="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40</w:t>
            </w:r>
          </w:p>
        </w:tc>
        <w:tc>
          <w:tcPr>
            <w:tcW w:w="510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Tianshan District Dawan South Rd. Hemeijia George Chanson</w:t>
            </w:r>
          </w:p>
        </w:tc>
        <w:tc>
          <w:tcPr>
            <w:tcW w:w="24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Tianshan Vanke</w:t>
            </w:r>
          </w:p>
        </w:tc>
        <w:tc>
          <w:tcPr>
            <w:tcW w:w="32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17"/>
                <w:szCs w:val="17"/>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Bakery</w:t>
            </w:r>
          </w:p>
        </w:tc>
        <w:tc>
          <w:tcPr>
            <w:tcW w:w="2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r>
      <w:tr>
        <w:trPr>
          <w:trHeight w:val="198"/>
        </w:trPr>
        <w:tc>
          <w:tcPr>
            <w:tcW w:w="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41</w:t>
            </w:r>
          </w:p>
        </w:tc>
        <w:tc>
          <w:tcPr>
            <w:tcW w:w="51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Shuimogou District Fengxiang Street Hemeijia George Chanson</w:t>
            </w:r>
          </w:p>
        </w:tc>
        <w:tc>
          <w:tcPr>
            <w:tcW w:w="24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Zijin Hui</w:t>
            </w:r>
          </w:p>
        </w:tc>
        <w:tc>
          <w:tcPr>
            <w:tcW w:w="32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17"/>
                <w:szCs w:val="17"/>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Bakery</w:t>
            </w:r>
          </w:p>
        </w:tc>
        <w:tc>
          <w:tcPr>
            <w:tcW w:w="2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r>
      <w:tr>
        <w:trPr>
          <w:trHeight w:val="198"/>
        </w:trPr>
        <w:tc>
          <w:tcPr>
            <w:tcW w:w="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42</w:t>
            </w:r>
          </w:p>
        </w:tc>
        <w:tc>
          <w:tcPr>
            <w:tcW w:w="510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Shuimogou District Fengxiang Street Hemeijia Song Coffee and</w:t>
            </w:r>
          </w:p>
        </w:tc>
        <w:tc>
          <w:tcPr>
            <w:tcW w:w="24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Soul●Song Zijin Hui</w:t>
            </w:r>
          </w:p>
        </w:tc>
        <w:tc>
          <w:tcPr>
            <w:tcW w:w="32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17"/>
                <w:szCs w:val="17"/>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Food Shop</w:t>
            </w:r>
          </w:p>
        </w:tc>
        <w:tc>
          <w:tcPr>
            <w:tcW w:w="2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w:t>
            </w: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Xinshi District Siping Road Hemeijia George Chanson Bakery</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Tongjia Peacock Mansion</w:t>
            </w:r>
          </w:p>
        </w:tc>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44</w:t>
            </w:r>
          </w:p>
        </w:tc>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Shayibake District Karamay West Street George Chanson Bakery</w:t>
            </w:r>
          </w:p>
        </w:tc>
        <w:tc>
          <w:tcPr>
            <w:tcW w:w="2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Karamay West Street</w:t>
            </w:r>
          </w:p>
        </w:tc>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45</w:t>
            </w: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Shayibake District, Altay Road, Hemeijia George Chanson Bakery</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Jiaheyuan</w:t>
            </w:r>
          </w:p>
        </w:tc>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w:t>
            </w:r>
          </w:p>
        </w:tc>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Shayibake District, Yangtze River Road, Hemeijia Chanson Bakery</w:t>
            </w:r>
          </w:p>
        </w:tc>
        <w:tc>
          <w:tcPr>
            <w:tcW w:w="2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Yangtze River Road</w:t>
            </w:r>
          </w:p>
        </w:tc>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47</w:t>
            </w: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Xinshi District Hebei East Road George Chanson Hemeijia Bakery</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Kangcheng Golf</w:t>
            </w:r>
          </w:p>
        </w:tc>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Same as above</w:t>
            </w:r>
          </w:p>
        </w:tc>
        <w:tc>
          <w:tcPr>
            <w:tcW w:w="140" w:type="dxa"/>
            <w:vAlign w:val="bottom"/>
            <w:tcBorders>
              <w:right w:val="single" w:sz="8" w:color="auto"/>
            </w:tcBorders>
          </w:tcPr>
          <w:p>
            <w:pPr>
              <w:spacing w:after="0"/>
              <w:rPr>
                <w:sz w:val="20"/>
                <w:szCs w:val="20"/>
                <w:color w:val="auto"/>
              </w:rPr>
            </w:pPr>
          </w:p>
        </w:tc>
      </w:tr>
      <w:tr>
        <w:trPr>
          <w:trHeight w:val="296"/>
        </w:trPr>
        <w:tc>
          <w:tcPr>
            <w:tcW w:w="40" w:type="dxa"/>
            <w:vAlign w:val="bottom"/>
            <w:tcBorders>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w:t>
            </w:r>
          </w:p>
        </w:tc>
        <w:tc>
          <w:tcPr>
            <w:tcW w:w="3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-5031105</wp:posOffset>
            </wp:positionV>
            <wp:extent cx="6969125"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6969125" cy="27432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-4619625</wp:posOffset>
            </wp:positionV>
            <wp:extent cx="696912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6969125"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-4345305</wp:posOffset>
            </wp:positionV>
            <wp:extent cx="6969125"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6969125" cy="27432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-3796665</wp:posOffset>
            </wp:positionV>
            <wp:extent cx="696912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6969125"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-3385185</wp:posOffset>
            </wp:positionV>
            <wp:extent cx="696912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6969125"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-3110865</wp:posOffset>
            </wp:positionV>
            <wp:extent cx="6969125"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6969125" cy="27432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-2700020</wp:posOffset>
            </wp:positionV>
            <wp:extent cx="6969125"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6969125" cy="27432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-2287905</wp:posOffset>
            </wp:positionV>
            <wp:extent cx="6969125" cy="274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6969125" cy="27432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-1739265</wp:posOffset>
            </wp:positionV>
            <wp:extent cx="6969125" cy="27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6969125" cy="27432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-1190625</wp:posOffset>
            </wp:positionV>
            <wp:extent cx="696912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6969125"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-916305</wp:posOffset>
            </wp:positionV>
            <wp:extent cx="696912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6969125"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-642620</wp:posOffset>
            </wp:positionV>
            <wp:extent cx="696912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969125" cy="137160"/>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w:t>
            </w:r>
          </w:p>
        </w:tc>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Tianshan District, Zhongqiao Second Alley, Meijia Song Coffee and</w:t>
            </w:r>
          </w:p>
        </w:tc>
        <w:tc>
          <w:tcPr>
            <w:tcW w:w="2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Soul●Song Zhongqiao</w:t>
            </w:r>
          </w:p>
        </w:tc>
        <w:tc>
          <w:tcPr>
            <w:tcW w:w="3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Same as above</w:t>
            </w:r>
          </w:p>
        </w:tc>
      </w:tr>
      <w:tr>
        <w:trPr>
          <w:trHeight w:val="234"/>
        </w:trPr>
        <w:tc>
          <w:tcPr>
            <w:tcW w:w="260" w:type="dxa"/>
            <w:vAlign w:val="bottom"/>
            <w:shd w:val="clear" w:color="auto" w:fill="CCEEFF"/>
          </w:tcPr>
          <w:p>
            <w:pPr>
              <w:spacing w:after="0"/>
              <w:rPr>
                <w:sz w:val="20"/>
                <w:szCs w:val="20"/>
                <w:color w:val="auto"/>
              </w:rPr>
            </w:pPr>
          </w:p>
        </w:tc>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Food Shop</w:t>
            </w:r>
          </w:p>
        </w:tc>
        <w:tc>
          <w:tcPr>
            <w:tcW w:w="2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Second Alley</w:t>
            </w:r>
          </w:p>
        </w:tc>
        <w:tc>
          <w:tcPr>
            <w:tcW w:w="3340" w:type="dxa"/>
            <w:vAlign w:val="bottom"/>
            <w:shd w:val="clear" w:color="auto" w:fill="CCEEFF"/>
          </w:tcPr>
          <w:p>
            <w:pPr>
              <w:spacing w:after="0"/>
              <w:rPr>
                <w:sz w:val="20"/>
                <w:szCs w:val="20"/>
                <w:color w:val="auto"/>
              </w:rPr>
            </w:pPr>
          </w:p>
        </w:tc>
      </w:tr>
      <w:tr>
        <w:trPr>
          <w:trHeight w:val="198"/>
        </w:trPr>
        <w:tc>
          <w:tcPr>
            <w:tcW w:w="2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49</w:t>
            </w:r>
          </w:p>
        </w:tc>
        <w:tc>
          <w:tcPr>
            <w:tcW w:w="52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Gaoxin District (Xinshi District) Kashi East Road Chanson</w:t>
            </w:r>
          </w:p>
        </w:tc>
        <w:tc>
          <w:tcPr>
            <w:tcW w:w="21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Wuyue Garden City</w:t>
            </w:r>
          </w:p>
        </w:tc>
        <w:tc>
          <w:tcPr>
            <w:tcW w:w="33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Same as above</w:t>
            </w:r>
          </w:p>
        </w:tc>
      </w:tr>
      <w:tr>
        <w:trPr>
          <w:trHeight w:val="234"/>
        </w:trPr>
        <w:tc>
          <w:tcPr>
            <w:tcW w:w="260" w:type="dxa"/>
            <w:vAlign w:val="bottom"/>
          </w:tcPr>
          <w:p>
            <w:pPr>
              <w:spacing w:after="0"/>
              <w:rPr>
                <w:sz w:val="20"/>
                <w:szCs w:val="20"/>
                <w:color w:val="auto"/>
              </w:rPr>
            </w:pPr>
          </w:p>
        </w:tc>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Hemeijia Bakery</w:t>
            </w:r>
          </w:p>
        </w:tc>
        <w:tc>
          <w:tcPr>
            <w:tcW w:w="21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198"/>
        </w:trPr>
        <w:tc>
          <w:tcPr>
            <w:tcW w:w="2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50</w:t>
            </w:r>
          </w:p>
        </w:tc>
        <w:tc>
          <w:tcPr>
            <w:tcW w:w="520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Gaoxin District (Xinshi District) Kashi East Road Hemeijia Song</w:t>
            </w:r>
          </w:p>
        </w:tc>
        <w:tc>
          <w:tcPr>
            <w:tcW w:w="21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Soul●Song Wuyue</w:t>
            </w:r>
          </w:p>
        </w:tc>
        <w:tc>
          <w:tcPr>
            <w:tcW w:w="33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Same as above</w:t>
            </w:r>
          </w:p>
        </w:tc>
      </w:tr>
      <w:tr>
        <w:trPr>
          <w:trHeight w:val="234"/>
        </w:trPr>
        <w:tc>
          <w:tcPr>
            <w:tcW w:w="260" w:type="dxa"/>
            <w:vAlign w:val="bottom"/>
            <w:shd w:val="clear" w:color="auto" w:fill="CCEEFF"/>
          </w:tcPr>
          <w:p>
            <w:pPr>
              <w:spacing w:after="0"/>
              <w:rPr>
                <w:sz w:val="20"/>
                <w:szCs w:val="20"/>
                <w:color w:val="auto"/>
              </w:rPr>
            </w:pPr>
          </w:p>
        </w:tc>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Coffee and Food Shop</w:t>
            </w:r>
          </w:p>
        </w:tc>
        <w:tc>
          <w:tcPr>
            <w:tcW w:w="2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Garden City</w:t>
            </w:r>
          </w:p>
        </w:tc>
        <w:tc>
          <w:tcPr>
            <w:tcW w:w="3340" w:type="dxa"/>
            <w:vAlign w:val="bottom"/>
            <w:shd w:val="clear" w:color="auto" w:fill="CCEEFF"/>
          </w:tcPr>
          <w:p>
            <w:pPr>
              <w:spacing w:after="0"/>
              <w:rPr>
                <w:sz w:val="20"/>
                <w:szCs w:val="20"/>
                <w:color w:val="auto"/>
              </w:rPr>
            </w:pPr>
          </w:p>
        </w:tc>
      </w:tr>
      <w:tr>
        <w:trPr>
          <w:trHeight w:val="198"/>
        </w:trPr>
        <w:tc>
          <w:tcPr>
            <w:tcW w:w="2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51</w:t>
            </w:r>
          </w:p>
        </w:tc>
        <w:tc>
          <w:tcPr>
            <w:tcW w:w="52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Gaoxin District (Xinshi District) East Station Road Chanson</w:t>
            </w:r>
          </w:p>
        </w:tc>
        <w:tc>
          <w:tcPr>
            <w:tcW w:w="21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Dongzhan Road Four</w:t>
            </w:r>
          </w:p>
        </w:tc>
        <w:tc>
          <w:tcPr>
            <w:tcW w:w="33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Same as above</w:t>
            </w:r>
          </w:p>
        </w:tc>
      </w:tr>
      <w:tr>
        <w:trPr>
          <w:trHeight w:val="234"/>
        </w:trPr>
        <w:tc>
          <w:tcPr>
            <w:tcW w:w="260" w:type="dxa"/>
            <w:vAlign w:val="bottom"/>
          </w:tcPr>
          <w:p>
            <w:pPr>
              <w:spacing w:after="0"/>
              <w:rPr>
                <w:sz w:val="20"/>
                <w:szCs w:val="20"/>
                <w:color w:val="auto"/>
              </w:rPr>
            </w:pPr>
          </w:p>
        </w:tc>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Hemeijia Bakery</w:t>
            </w:r>
          </w:p>
        </w:tc>
        <w:tc>
          <w:tcPr>
            <w:tcW w:w="2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Seasons Flower City</w:t>
            </w:r>
          </w:p>
        </w:tc>
        <w:tc>
          <w:tcPr>
            <w:tcW w:w="3340" w:type="dxa"/>
            <w:vAlign w:val="bottom"/>
          </w:tcPr>
          <w:p>
            <w:pPr>
              <w:spacing w:after="0"/>
              <w:rPr>
                <w:sz w:val="20"/>
                <w:szCs w:val="20"/>
                <w:color w:val="auto"/>
              </w:rPr>
            </w:pPr>
          </w:p>
        </w:tc>
      </w:tr>
      <w:tr>
        <w:trPr>
          <w:trHeight w:val="216"/>
        </w:trPr>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w:t>
            </w:r>
          </w:p>
        </w:tc>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Urumqi Midong District Chanson Bakery</w:t>
            </w:r>
          </w:p>
        </w:tc>
        <w:tc>
          <w:tcPr>
            <w:tcW w:w="2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Midong Wuyue Plaza</w:t>
            </w:r>
          </w:p>
        </w:tc>
        <w:tc>
          <w:tcPr>
            <w:tcW w:w="3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Same as above</w:t>
            </w:r>
          </w:p>
        </w:tc>
      </w:tr>
      <w:tr>
        <w:trPr>
          <w:trHeight w:val="198"/>
        </w:trPr>
        <w:tc>
          <w:tcPr>
            <w:tcW w:w="2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53</w:t>
            </w:r>
          </w:p>
        </w:tc>
        <w:tc>
          <w:tcPr>
            <w:tcW w:w="52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Gaoxin District (Xinshi District) Beijing North Road Chanson</w:t>
            </w:r>
          </w:p>
        </w:tc>
        <w:tc>
          <w:tcPr>
            <w:tcW w:w="21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Jiafengyuan</w:t>
            </w:r>
          </w:p>
        </w:tc>
        <w:tc>
          <w:tcPr>
            <w:tcW w:w="33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Same as above</w:t>
            </w:r>
          </w:p>
        </w:tc>
      </w:tr>
      <w:tr>
        <w:trPr>
          <w:trHeight w:val="234"/>
        </w:trPr>
        <w:tc>
          <w:tcPr>
            <w:tcW w:w="260" w:type="dxa"/>
            <w:vAlign w:val="bottom"/>
          </w:tcPr>
          <w:p>
            <w:pPr>
              <w:spacing w:after="0"/>
              <w:rPr>
                <w:sz w:val="20"/>
                <w:szCs w:val="20"/>
                <w:color w:val="auto"/>
              </w:rPr>
            </w:pPr>
          </w:p>
        </w:tc>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Meijia Bakery</w:t>
            </w:r>
          </w:p>
        </w:tc>
        <w:tc>
          <w:tcPr>
            <w:tcW w:w="21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198"/>
        </w:trPr>
        <w:tc>
          <w:tcPr>
            <w:tcW w:w="2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54</w:t>
            </w:r>
          </w:p>
        </w:tc>
        <w:tc>
          <w:tcPr>
            <w:tcW w:w="520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Shuimogou District Hongguangshan Rd. Chanson Bakery</w:t>
            </w:r>
          </w:p>
        </w:tc>
        <w:tc>
          <w:tcPr>
            <w:tcW w:w="21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Wuyue Square</w:t>
            </w:r>
          </w:p>
        </w:tc>
        <w:tc>
          <w:tcPr>
            <w:tcW w:w="33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Part of UFG – owned 100% by Ms. Hui</w:t>
            </w:r>
          </w:p>
        </w:tc>
      </w:tr>
      <w:tr>
        <w:trPr>
          <w:trHeight w:val="216"/>
        </w:trPr>
        <w:tc>
          <w:tcPr>
            <w:tcW w:w="26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Wang and operated under agreements</w:t>
            </w:r>
          </w:p>
        </w:tc>
      </w:tr>
      <w:tr>
        <w:trPr>
          <w:trHeight w:val="216"/>
        </w:trPr>
        <w:tc>
          <w:tcPr>
            <w:tcW w:w="26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among Ms. Hui Wang, this entity, and</w:t>
            </w:r>
          </w:p>
        </w:tc>
      </w:tr>
      <w:tr>
        <w:trPr>
          <w:trHeight w:val="234"/>
        </w:trPr>
        <w:tc>
          <w:tcPr>
            <w:tcW w:w="260" w:type="dxa"/>
            <w:vAlign w:val="bottom"/>
            <w:shd w:val="clear" w:color="auto" w:fill="CCEEFF"/>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3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Xinjiang United Family</w:t>
            </w:r>
          </w:p>
        </w:tc>
      </w:tr>
      <w:tr>
        <w:trPr>
          <w:trHeight w:val="216"/>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55</w:t>
            </w:r>
          </w:p>
        </w:tc>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Xinshi District Beijing South Rd. George Chanson Bakery</w:t>
            </w:r>
          </w:p>
        </w:tc>
        <w:tc>
          <w:tcPr>
            <w:tcW w:w="2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Xidan</w:t>
            </w:r>
          </w:p>
        </w:tc>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Same as above</w:t>
            </w:r>
          </w:p>
        </w:tc>
      </w:tr>
      <w:tr>
        <w:trPr>
          <w:trHeight w:val="198"/>
        </w:trPr>
        <w:tc>
          <w:tcPr>
            <w:tcW w:w="2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56</w:t>
            </w:r>
          </w:p>
        </w:tc>
        <w:tc>
          <w:tcPr>
            <w:tcW w:w="520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Xinjiang United Family Trading Co., Ltd. Tianshan District</w:t>
            </w:r>
          </w:p>
        </w:tc>
        <w:tc>
          <w:tcPr>
            <w:tcW w:w="21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Tianbai</w:t>
            </w:r>
          </w:p>
        </w:tc>
        <w:tc>
          <w:tcPr>
            <w:tcW w:w="33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 branch office of Xinjiang United</w:t>
            </w:r>
          </w:p>
        </w:tc>
      </w:tr>
      <w:tr>
        <w:trPr>
          <w:trHeight w:val="234"/>
        </w:trPr>
        <w:tc>
          <w:tcPr>
            <w:tcW w:w="260" w:type="dxa"/>
            <w:vAlign w:val="bottom"/>
            <w:shd w:val="clear" w:color="auto" w:fill="CCEEFF"/>
          </w:tcPr>
          <w:p>
            <w:pPr>
              <w:spacing w:after="0"/>
              <w:rPr>
                <w:sz w:val="20"/>
                <w:szCs w:val="20"/>
                <w:color w:val="auto"/>
              </w:rPr>
            </w:pPr>
          </w:p>
        </w:tc>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Chanson Bakery</w:t>
            </w:r>
          </w:p>
        </w:tc>
        <w:tc>
          <w:tcPr>
            <w:tcW w:w="2180" w:type="dxa"/>
            <w:vAlign w:val="bottom"/>
            <w:shd w:val="clear" w:color="auto" w:fill="CCEEFF"/>
          </w:tcPr>
          <w:p>
            <w:pPr>
              <w:spacing w:after="0"/>
              <w:rPr>
                <w:sz w:val="20"/>
                <w:szCs w:val="20"/>
                <w:color w:val="auto"/>
              </w:rPr>
            </w:pPr>
          </w:p>
        </w:tc>
        <w:tc>
          <w:tcPr>
            <w:tcW w:w="3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Family</w:t>
            </w:r>
          </w:p>
        </w:tc>
      </w:tr>
      <w:tr>
        <w:trPr>
          <w:trHeight w:val="198"/>
        </w:trPr>
        <w:tc>
          <w:tcPr>
            <w:tcW w:w="2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57</w:t>
            </w:r>
          </w:p>
        </w:tc>
        <w:tc>
          <w:tcPr>
            <w:tcW w:w="52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Xinjiang United Family Trading Co., Ltd. Chanson Bakery Urumqi</w:t>
            </w:r>
          </w:p>
        </w:tc>
        <w:tc>
          <w:tcPr>
            <w:tcW w:w="21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Wenhua</w:t>
            </w:r>
          </w:p>
        </w:tc>
        <w:tc>
          <w:tcPr>
            <w:tcW w:w="33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 branch office of Xinjiang United</w:t>
            </w:r>
          </w:p>
        </w:tc>
      </w:tr>
      <w:tr>
        <w:trPr>
          <w:trHeight w:val="234"/>
        </w:trPr>
        <w:tc>
          <w:tcPr>
            <w:tcW w:w="260" w:type="dxa"/>
            <w:vAlign w:val="bottom"/>
          </w:tcPr>
          <w:p>
            <w:pPr>
              <w:spacing w:after="0"/>
              <w:rPr>
                <w:sz w:val="20"/>
                <w:szCs w:val="20"/>
                <w:color w:val="auto"/>
              </w:rPr>
            </w:pPr>
          </w:p>
        </w:tc>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Branch</w:t>
            </w:r>
          </w:p>
        </w:tc>
        <w:tc>
          <w:tcPr>
            <w:tcW w:w="2180" w:type="dxa"/>
            <w:vAlign w:val="bottom"/>
          </w:tcPr>
          <w:p>
            <w:pPr>
              <w:spacing w:after="0"/>
              <w:rPr>
                <w:sz w:val="20"/>
                <w:szCs w:val="20"/>
                <w:color w:val="auto"/>
              </w:rPr>
            </w:pPr>
          </w:p>
        </w:tc>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Family</w:t>
            </w:r>
          </w:p>
        </w:tc>
      </w:tr>
      <w:tr>
        <w:trPr>
          <w:trHeight w:val="198"/>
        </w:trPr>
        <w:tc>
          <w:tcPr>
            <w:tcW w:w="2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58</w:t>
            </w:r>
          </w:p>
        </w:tc>
        <w:tc>
          <w:tcPr>
            <w:tcW w:w="520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Xinjiang United Family Trading Co., Ltd. Urumqi Meimei Chanson</w:t>
            </w:r>
          </w:p>
        </w:tc>
        <w:tc>
          <w:tcPr>
            <w:tcW w:w="21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Meimei</w:t>
            </w:r>
          </w:p>
        </w:tc>
        <w:tc>
          <w:tcPr>
            <w:tcW w:w="33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 branch office of Xinjiang United</w:t>
            </w:r>
          </w:p>
        </w:tc>
      </w:tr>
      <w:tr>
        <w:trPr>
          <w:trHeight w:val="234"/>
        </w:trPr>
        <w:tc>
          <w:tcPr>
            <w:tcW w:w="260" w:type="dxa"/>
            <w:vAlign w:val="bottom"/>
            <w:shd w:val="clear" w:color="auto" w:fill="CCEEFF"/>
          </w:tcPr>
          <w:p>
            <w:pPr>
              <w:spacing w:after="0"/>
              <w:rPr>
                <w:sz w:val="20"/>
                <w:szCs w:val="20"/>
                <w:color w:val="auto"/>
              </w:rPr>
            </w:pPr>
          </w:p>
        </w:tc>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Bakery</w:t>
            </w:r>
          </w:p>
        </w:tc>
        <w:tc>
          <w:tcPr>
            <w:tcW w:w="2180" w:type="dxa"/>
            <w:vAlign w:val="bottom"/>
            <w:shd w:val="clear" w:color="auto" w:fill="CCEEFF"/>
          </w:tcPr>
          <w:p>
            <w:pPr>
              <w:spacing w:after="0"/>
              <w:rPr>
                <w:sz w:val="20"/>
                <w:szCs w:val="20"/>
                <w:color w:val="auto"/>
              </w:rPr>
            </w:pPr>
          </w:p>
        </w:tc>
        <w:tc>
          <w:tcPr>
            <w:tcW w:w="3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Family</w:t>
            </w:r>
          </w:p>
        </w:tc>
      </w:tr>
      <w:tr>
        <w:trPr>
          <w:trHeight w:val="198"/>
        </w:trPr>
        <w:tc>
          <w:tcPr>
            <w:tcW w:w="2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59</w:t>
            </w:r>
          </w:p>
        </w:tc>
        <w:tc>
          <w:tcPr>
            <w:tcW w:w="52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Xinjiang United Family Trading Co., Ltd. Coffee Bakery Branch</w:t>
            </w:r>
          </w:p>
        </w:tc>
        <w:tc>
          <w:tcPr>
            <w:tcW w:w="21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Meimei No.3</w:t>
            </w:r>
          </w:p>
        </w:tc>
        <w:tc>
          <w:tcPr>
            <w:tcW w:w="33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 branch office of Xinjiang United</w:t>
            </w:r>
          </w:p>
        </w:tc>
      </w:tr>
      <w:tr>
        <w:trPr>
          <w:trHeight w:val="234"/>
        </w:trPr>
        <w:tc>
          <w:tcPr>
            <w:tcW w:w="26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Family</w:t>
            </w:r>
          </w:p>
        </w:tc>
      </w:tr>
      <w:tr>
        <w:trPr>
          <w:trHeight w:val="198"/>
        </w:trPr>
        <w:tc>
          <w:tcPr>
            <w:tcW w:w="2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60</w:t>
            </w:r>
          </w:p>
        </w:tc>
        <w:tc>
          <w:tcPr>
            <w:tcW w:w="520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Xinjiang United Family Trading Co., Ltd. Ruitai Chanson Bakery</w:t>
            </w:r>
          </w:p>
        </w:tc>
        <w:tc>
          <w:tcPr>
            <w:tcW w:w="21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Ruitai</w:t>
            </w:r>
          </w:p>
        </w:tc>
        <w:tc>
          <w:tcPr>
            <w:tcW w:w="33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 store operated by Xinjiang United</w:t>
            </w:r>
          </w:p>
        </w:tc>
      </w:tr>
      <w:tr>
        <w:trPr>
          <w:trHeight w:val="234"/>
        </w:trPr>
        <w:tc>
          <w:tcPr>
            <w:tcW w:w="260" w:type="dxa"/>
            <w:vAlign w:val="bottom"/>
            <w:shd w:val="clear" w:color="auto" w:fill="CCEEFF"/>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3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Family, not a separate legal entity</w:t>
            </w:r>
          </w:p>
        </w:tc>
      </w:tr>
      <w:tr>
        <w:trPr>
          <w:trHeight w:val="198"/>
        </w:trPr>
        <w:tc>
          <w:tcPr>
            <w:tcW w:w="2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61</w:t>
            </w:r>
          </w:p>
        </w:tc>
        <w:tc>
          <w:tcPr>
            <w:tcW w:w="52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Chanson 23rd Street LLC</w:t>
            </w:r>
          </w:p>
        </w:tc>
        <w:tc>
          <w:tcPr>
            <w:tcW w:w="21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Chanson 23rd Street</w:t>
            </w:r>
          </w:p>
        </w:tc>
        <w:tc>
          <w:tcPr>
            <w:tcW w:w="33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 wholly owned indirect subsidiary of</w:t>
            </w:r>
          </w:p>
        </w:tc>
      </w:tr>
      <w:tr>
        <w:trPr>
          <w:trHeight w:val="234"/>
        </w:trPr>
        <w:tc>
          <w:tcPr>
            <w:tcW w:w="26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Xinjiang United Family</w:t>
            </w:r>
          </w:p>
        </w:tc>
      </w:tr>
      <w:tr>
        <w:trPr>
          <w:trHeight w:val="216"/>
        </w:trPr>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62</w:t>
            </w:r>
          </w:p>
        </w:tc>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Chanson 1293 3rd Ave LLC</w:t>
            </w:r>
          </w:p>
        </w:tc>
        <w:tc>
          <w:tcPr>
            <w:tcW w:w="2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Chanson 3rd Ave</w:t>
            </w:r>
          </w:p>
        </w:tc>
        <w:tc>
          <w:tcPr>
            <w:tcW w:w="3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Same as above.</w:t>
            </w:r>
          </w:p>
        </w:tc>
      </w:tr>
      <w:tr>
        <w:trPr>
          <w:trHeight w:val="234"/>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63</w:t>
            </w:r>
          </w:p>
        </w:tc>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Chanson 2040 Broadway LLC</w:t>
            </w:r>
          </w:p>
        </w:tc>
        <w:tc>
          <w:tcPr>
            <w:tcW w:w="2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Chanson Broadway</w:t>
            </w:r>
          </w:p>
        </w:tc>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Same as above.</w:t>
            </w: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313690</wp:posOffset>
            </wp:positionV>
            <wp:extent cx="7127875" cy="7282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27875" cy="7282180"/>
                    </a:xfrm>
                    <a:prstGeom prst="rect">
                      <a:avLst/>
                    </a:prstGeom>
                    <a:noFill/>
                  </pic:spPr>
                </pic:pic>
              </a:graphicData>
            </a:graphic>
          </wp:anchor>
        </w:drawing>
      </w: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For ease of reference, unless it is necessary to the understanding of the context to differentiate, throughout this prospectus we will refer to all the above entities collectively as our “stores” and, to the extent we refer to a specific entity listed in the table above, we refer to such entity by its commercial name.</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The United Family Group</w:t>
      </w:r>
    </w:p>
    <w:p>
      <w:pPr>
        <w:spacing w:after="0" w:line="229"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Each UFG Entity was established as an individually-owned business and, for accounting purposes, Xinjiang United Family controls the UFG Entities through the VIE Agreements, which enables us to consolidate the financial results of the UFG Entities in our consolidated financial statements. The VIE Agreements are designed so that the operations of the VIEs are solely for the benefit of Xinjiang United Family and ultimately, the Company, as a result of our direct ownership in Xinjiang United family. As such, under U.S. GAAP, the Company is deemed to have a controlling financial interest in, and be the primary beneficiary of, the VIEs for accounting purposes only and must consolidate the VIEs because it met the conditions under U.S. GAAP to consolidate the VIEs.</w:t>
      </w:r>
    </w:p>
    <w:p>
      <w:pPr>
        <w:spacing w:after="0" w:line="187"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UFG’s revenue accounted for 62%, 54%, and 39% of our total revenue for the years ended December 31, 2024, 2023, and 2022, respectively. As of the date of this prospectus, UFG consists of 55 VIEs. Our Chairman, Mr. Gang Li, is the sole owner of 53 UFG Entities, and Ms. Hui Wang, the Marketing Director of Xinjiang United Family, is the sole owner of two UFG Entities.</w:t>
      </w:r>
    </w:p>
    <w:p>
      <w:pPr>
        <w:spacing w:after="0" w:line="174" w:lineRule="exact"/>
        <w:rPr>
          <w:sz w:val="20"/>
          <w:szCs w:val="20"/>
          <w:color w:val="auto"/>
        </w:rPr>
      </w:pPr>
    </w:p>
    <w:p>
      <w:pPr>
        <w:jc w:val="both"/>
        <w:ind w:left="20" w:right="20"/>
        <w:spacing w:after="0" w:line="284" w:lineRule="auto"/>
        <w:rPr>
          <w:sz w:val="20"/>
          <w:szCs w:val="20"/>
          <w:color w:val="auto"/>
        </w:rPr>
      </w:pPr>
      <w:r>
        <w:rPr>
          <w:rFonts w:ascii="Times New Roman" w:cs="Times New Roman" w:eastAsia="Times New Roman" w:hAnsi="Times New Roman"/>
          <w:sz w:val="18"/>
          <w:szCs w:val="18"/>
          <w:color w:val="auto"/>
        </w:rPr>
        <w:t>For more information about VIEs and the VIE Agreements, see “</w:t>
      </w:r>
      <w:r>
        <w:rPr>
          <w:rFonts w:ascii="Times New Roman" w:cs="Times New Roman" w:eastAsia="Times New Roman" w:hAnsi="Times New Roman"/>
          <w:sz w:val="18"/>
          <w:szCs w:val="18"/>
          <w:i w:val="1"/>
          <w:iCs w:val="1"/>
          <w:color w:val="auto"/>
        </w:rPr>
        <w:t>Item 3. Key Information— The United Family Group</w:t>
      </w:r>
      <w:r>
        <w:rPr>
          <w:rFonts w:ascii="Times New Roman" w:cs="Times New Roman" w:eastAsia="Times New Roman" w:hAnsi="Times New Roman"/>
          <w:sz w:val="18"/>
          <w:szCs w:val="18"/>
          <w:color w:val="auto"/>
        </w:rPr>
        <w:t>” in the 2024 Annual Report, which is incorporated in this prospectus by reference.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819"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313690</wp:posOffset>
            </wp:positionV>
            <wp:extent cx="7127875" cy="687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27875" cy="6870700"/>
                    </a:xfrm>
                    <a:prstGeom prst="rect">
                      <a:avLst/>
                    </a:prstGeom>
                    <a:noFill/>
                  </pic:spPr>
                </pic:pic>
              </a:graphicData>
            </a:graphic>
          </wp:anchor>
        </w:drawing>
        <w:t>Business 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PRC Stores and the U.S. Stores manufacture and sell a wide selection of bakery products, seasonal products (i.e. products sold during particular holiday seasons), and beverage products; some of these stores also offer eat-in services. The PRC Stores and the U.S. Stores currently focus their business in Xinjiang of the PRC and New York City, respectively. The PRC Stores and the U.S. Stores aim to make healthy, nutritious, and ready-to-eat food through advanced facilities and industry research and to create a comfortable, yet distinguishable store environment in which customers can enjoy their products.</w:t>
      </w:r>
    </w:p>
    <w:p>
      <w:pPr>
        <w:spacing w:after="0" w:line="18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PRC Stores are a bakery chain consisting of 60 stores operated by Xinjiang United Family and the VIEs, under the “George●Chanson” brand in Xinjiang, and the U.S. Stores, which consist of three stores in the U.S., sell their products in New York City. Selling through directly-operated stores, instead of franchise stores, allows the operating entities to run their entire operation more efficiently and to exercise greater control over the quality of products and the presentation of their brand, and to better manage customer experience in the stores. The current customer base of the PRC Stores and the U.S. Stores consists of both individual and corporate customers. To expand their customer base, the PRC Stores and the U.S. Stores have developed a variety of marketing and sale strategies, such as increasing their presence on social media platforms, devising pricing and discounting programs, and improving customer in-store experience.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PRC Stores manufacture the majority of bakery products in their central factory located in Urumqi, Xinjiang, prepare beverage products within the stores, and contract third-party manufacturers to produce seasonal products. The U.S. Stores bake bakery products, prepare breakfast, lunch and all-day brunch, bar food, and other light meals for eat in, and make beverage products all within the kitchen in the store. To ensure the quality and safety of their products, the PRC Stores and the U.S. Stores procure raw materials, including flour, eggs, and milk, from renowned suppliers with a record of consistently supplying high-quality raw materials over decades in the food industry. In addition, the PRC Stores and the U.S. Stores have implemented a rigorous quality control system covering their entire operation process and mandated internal training to improve their employees’ awareness and knowledge of food safety.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2023, and 2022, we had total revenue of $18,227,537, $17,252,662, and $13,272,075, respectively, and net income of $756,285, net income of $33,588, and net loss of $1,288,205, respectively. The PRC Stores accounted for 88.5%, 82.9%, and 71.6% of our total revenue for those fiscal years, respectively, and the U.S. Stores accounted for 11.5%, 17.1%, and 28.4%,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PRC Stores primarily generate revenue through sale of bakery products, seasonal products, and beverage products. For the years ended December 31, 2024, 2023, and 2022, revenue derived from sale of bakery products accounted for 91.6%, 87.6%, and 91.7%, of the PRC Stores’ revenue, respectively, revenue derived from sale of seasonal products accounted for 6.1%, 9.1%, and 7.3%, respectively, and revenue derived from sale of beverage products accounted for 2.3%, 3.3%, and 1.0%,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Stores primarily generate revenue through offering eat-in services and sale of bakery products and beverage products. For the years ended December 31, 2024, 2023, and 2022, revenue derived from offering eat-in services accounted for 14.5%, 27.0%, and 29.6% of the U.S. Stores’ revenue, respectively, revenue derived from sale of bakery products accounted for 24.3%, 15.1%, and 16.2%, respectively, and revenue derived from sale of beverage products accounted for 61.2%, 57.9%, and 54.2%,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competitive strengths have contributed to our success and differentiated us from our competitors:</w:t>
      </w:r>
    </w:p>
    <w:p>
      <w:pPr>
        <w:spacing w:after="0" w:line="225" w:lineRule="exact"/>
        <w:rPr>
          <w:sz w:val="20"/>
          <w:szCs w:val="20"/>
          <w:color w:val="auto"/>
        </w:rPr>
      </w:pPr>
    </w:p>
    <w:p>
      <w:pPr>
        <w:ind w:left="640" w:hanging="324"/>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trendy brand reflecting healthy food concepts;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quality control;</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industry research and constant product innovation;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806" w:right="459" w:bottom="1440" w:gutter="0" w:footer="0" w:header="0"/>
        </w:sectPr>
      </w:pPr>
    </w:p>
    <w:bookmarkStart w:id="35" w:name="page36"/>
    <w:bookmarkEnd w:id="35"/>
    <w:p>
      <w:pPr>
        <w:ind w:left="640" w:hanging="324"/>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313690</wp:posOffset>
            </wp:positionV>
            <wp:extent cx="7127875" cy="76936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27875" cy="7693660"/>
                    </a:xfrm>
                    <a:prstGeom prst="rect">
                      <a:avLst/>
                    </a:prstGeom>
                    <a:noFill/>
                  </pic:spPr>
                </pic:pic>
              </a:graphicData>
            </a:graphic>
          </wp:anchor>
        </w:drawing>
        <w:t>advantageous information management system;</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well-developed distribution network in Xinjiang; and</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management and professional teams.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Strategies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develop our business and strengthen brand loyalty by pursuing the following strategies:</w:t>
      </w:r>
    </w:p>
    <w:p>
      <w:pPr>
        <w:spacing w:after="0" w:line="225" w:lineRule="exact"/>
        <w:rPr>
          <w:sz w:val="20"/>
          <w:szCs w:val="20"/>
          <w:color w:val="auto"/>
        </w:rPr>
      </w:pPr>
    </w:p>
    <w:p>
      <w:pPr>
        <w:ind w:left="640" w:hanging="324"/>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markets by opening new stores;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in-store customer experience and customer services;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implementing healthy and nutritious diet principles in product development; and</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brand awareness.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Supply Chain Impacts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the PRC Stores have not been materially impacted by inflation or supply chain disruptions as their raw material, electricity, and fuel prices and labor costs remain stable and the PRC Stores have been regularly introducing new products and adjusting the prices for their existing products.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Rising inflation, geopolitical conflicts, including the recent war in Ukraine, and the related supply chain disruptions have had a direct or indirect impact on the business and operations of the U.S. Stores.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annual inflation rate in the U.S. was 2.9% in 2024, according to the Council of Economic Advisers. Increases in the inflation rate of prices of commodities that are inputs to the products and services of the U.S. Stores, such as agricultural and energy commodities, have led to higher raw material, fuel, freight, warehousing, and labor costs and operating expenses. If the disposable income of the customers of the U.S. Stores does not increase at a similar rate as inflation does, the U.S. Stores’ sales could suffer, which could materially and adversely affect their business and financial condition and cause the U.S. Stores to have additional working capital needs. However, the U.S. Stores cannot predict whether or how long the higher inflation rates will persist. See “</w:t>
      </w:r>
      <w:r>
        <w:rPr>
          <w:rFonts w:ascii="Times New Roman" w:cs="Times New Roman" w:eastAsia="Times New Roman" w:hAnsi="Times New Roman"/>
          <w:sz w:val="18"/>
          <w:szCs w:val="18"/>
          <w:i w:val="1"/>
          <w:iCs w:val="1"/>
          <w:color w:val="auto"/>
        </w:rPr>
        <w:t>Item 3. Key Information—D. Risk Factors—Risks Relating to Our Business—The operating entities’ inability to source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raw materials or other inputs of an acceptable type or quality could adversely affect their results of operations</w:t>
      </w:r>
      <w:r>
        <w:rPr>
          <w:rFonts w:ascii="Times New Roman" w:cs="Times New Roman" w:eastAsia="Times New Roman" w:hAnsi="Times New Roman"/>
          <w:sz w:val="18"/>
          <w:szCs w:val="18"/>
          <w:color w:val="auto"/>
        </w:rPr>
        <w:t>” in the 2024 Annual Report,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in this prospectus by reference.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although the U.S. Stores do not have any operations outside of the U.S. nor any business relationships, connections to, or assets in, Russia, Belarus, or Ukraine, their business, financial condition, and results of operations have been, and could continue to be, indirectly and adversely affected by the ongoing military conflict between Russia and Ukraine. Such impact arises from: (i) volatility in the global supply of wheat, corn, barley, sunflower oil, and other agricultural commodities; (ii) higher food prices due to supply constraints and the general inflationary impact of the war; (iii) increases in energy prices globally, in particular for electricity and fossil fuels, such as crude oil and natural gas, and related transportation, freight, and warehousing costs; and (iv) disruptions to logistics and supply chains. See “</w:t>
      </w:r>
      <w:r>
        <w:rPr>
          <w:rFonts w:ascii="Times New Roman" w:cs="Times New Roman" w:eastAsia="Times New Roman" w:hAnsi="Times New Roman"/>
          <w:sz w:val="18"/>
          <w:szCs w:val="18"/>
          <w:i w:val="1"/>
          <w:iCs w:val="1"/>
          <w:color w:val="auto"/>
        </w:rPr>
        <w:t>Item 3. Key Information—D. Risk Factors—Risks Relating to 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PRC Stores and the U.S. Stores are currently operating in a period of economic uncertainty and capital markets disruption, which has been significantly impacted by geopolitical instability due to the ongoing military conflict between Russia and Ukraine. Their business, financial condition, and results of operations may be materially and adversely affected by any negative impact on the global economy and capital markets resulting from the conflict in Ukraine or any other geopolitical tensions</w:t>
      </w:r>
      <w:r>
        <w:rPr>
          <w:rFonts w:ascii="Times New Roman" w:cs="Times New Roman" w:eastAsia="Times New Roman" w:hAnsi="Times New Roman"/>
          <w:sz w:val="18"/>
          <w:szCs w:val="18"/>
          <w:color w:val="auto"/>
        </w:rPr>
        <w:t>” in the 2024 Annual Report, which is incorporated in this prospectus by reference.</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impact of supply chains of the U.S. Stores from rising inflation and geopolitical tensions primarily consists of (i) higher purchase prices and fuel, freight, and warehousing costs for raw materials and other products, (ii) delays in the manufacturing, processing, and transportation of raw materials and other products; and (iii) logistics and operational disruptions. Future interruptions or friction in the supply chains of the U.S. Stores, as well as anticipation of interruptions or friction, may cause them to be unable to meet customer demand, retain extra inventory, and make operational plans with less precision. Each of these impacts, if the U.S. Stores are affected more than their competitors, could materially and adversely affect their business, adversely impact their prices and/or margins, and cause them to have additional working capital needs.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810" w:right="459" w:bottom="1440" w:gutter="0" w:footer="0" w:header="0"/>
        </w:sectPr>
      </w:pPr>
    </w:p>
    <w:bookmarkStart w:id="36" w:name="page37"/>
    <w:bookmarkEnd w:id="36"/>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313690</wp:posOffset>
            </wp:positionV>
            <wp:extent cx="7127875" cy="63220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27875" cy="6322060"/>
                    </a:xfrm>
                    <a:prstGeom prst="rect">
                      <a:avLst/>
                    </a:prstGeom>
                    <a:noFill/>
                  </pic:spPr>
                </pic:pic>
              </a:graphicData>
            </a:graphic>
          </wp:anchor>
        </w:drawing>
        <w:t>In 2022, to mitigate the increases in costs and expenses described above, the U.S. Stores implemented more stringent and accurate inventory management and upgraded their menus to introduce new products, such as the cocktail products, with higher prices and increase the prices of existing products. However, if the costs and expenses described above continue to increase, there can be assurance that the U.S. Stores can continue to increase prices to maintain their margins. Lower margins could adversely impact the profitability of the businesses of the U.S. Stores. If the amounts the U.S. Stores charge their customers increase at a rate that is either unaffordable to their customers or insufficient to compensate for the rise in their material costs and operational expenses, their business may be materially and adversely affected, their product margin may deteriorate, and they may have additional working capital needs. We do not believe that such mitigation efforts have introduced any other new material risks, including, but not limited to, those related to product quality or reliability or regulatory approval. See “</w:t>
      </w:r>
      <w:r>
        <w:rPr>
          <w:rFonts w:ascii="Times New Roman" w:cs="Times New Roman" w:eastAsia="Times New Roman" w:hAnsi="Times New Roman"/>
          <w:sz w:val="18"/>
          <w:szCs w:val="18"/>
          <w:i w:val="1"/>
          <w:iCs w:val="1"/>
          <w:color w:val="auto"/>
        </w:rPr>
        <w:t>Item 3. Key Information—D. Risk Factors—Risks Relating to 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inability of the PRC Stores and the U.S. Stores to pass on price increases for materials or other inputs to their customers could adversely affect our results of operations</w:t>
      </w:r>
      <w:r>
        <w:rPr>
          <w:rFonts w:ascii="Times New Roman" w:cs="Times New Roman" w:eastAsia="Times New Roman" w:hAnsi="Times New Roman"/>
          <w:sz w:val="18"/>
          <w:szCs w:val="18"/>
          <w:color w:val="auto"/>
        </w:rPr>
        <w:t>” in the 2024 Annual Report, which is incorporated in this prospectus by reference. In order to mitigate the potential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price increases on their financial condition and results of operations, the U.S. Stores plan to continue to improve their operating efficiency and further strengthen their bargaining power with their suppliers through the continued expansion of their store network.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being based in the PRC</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certain legal and operational risks associated with having the majority of our operations in China, which could cause the value of our securities to significantly decline or become worthless. PRC laws and regulations governing our current business operations are sometimes vague and uncertain, and as a result these risks may result in material changes in the operations of the VIEs, significant depreciation or a complete loss of the value of our Class A Ordinary Shares, or a complete hindrance of our ability to offer, or continue to offer, our securities to investors. Recently, the PRC government adopted a series of regulatory actions and issued statements to regulate business operations in China with little advance notice, including cracking down on illegal activities in the securities market, adopting new measures to extend the scope of cybersecurity reviews, and expanding the efforts in anti-monopoly enforcement. As of the date of this prospectus, we, our PRC subsidiary, and the VIEs have not been involved in any investigations on cybersecurity review initiated by any PRC regulatory authority, nor has any of them received any inquiry, notice, or sanction. As confirmed by our PRC counsel, Dacheng, we are not subject to cybersecurity review with the CAC under the Cybersecurity Review Measures that became effective on February 15, 2022, since we currently do not have over one million users’ personal information and do not anticipate that we will be collecting over one million users’ personal information in the foreseeable future, which we understand might otherwise subject us to the Cybersecurity Review Measures. We have not been notified by relevant government departments or local authorities for data security assessment, and our data have not been publicly released as important data. Therefore, we do not need to declare our data for security assessment as important data to exit the country, under the Provisions on Regulating and Facilitating Cross-Border Data Flow that were promulgated by CAC and became effective on March 22, 2024. We are also not subject to national security review by the relevant authorities, since we currently do not conduct network data processing activities that may affect national security, which we understand might otherwise subject us to the Regulation on Network Data Security Management. See “</w:t>
      </w:r>
      <w:r>
        <w:rPr>
          <w:rFonts w:ascii="Times New Roman" w:cs="Times New Roman" w:eastAsia="Times New Roman" w:hAnsi="Times New Roman"/>
          <w:sz w:val="18"/>
          <w:szCs w:val="18"/>
          <w:i w:val="1"/>
          <w:iCs w:val="1"/>
          <w:color w:val="auto"/>
        </w:rPr>
        <w:t>Item 3. Key Information—D. Risk Factors—Risks Relating to Doing Business in the PRC—Recent greater oversight by the CAC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 data security, particularly for companies seeking to list on a foreign exchange, could adversely impact our business and our offerings</w:t>
      </w:r>
      <w:r>
        <w:rPr>
          <w:rFonts w:ascii="Times New Roman" w:cs="Times New Roman" w:eastAsia="Times New Roman" w:hAnsi="Times New Roman"/>
          <w:sz w:val="18"/>
          <w:szCs w:val="18"/>
          <w:color w:val="auto"/>
        </w:rPr>
        <w:t>” in the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which is incorporated in this prospectus by reference</w:t>
      </w:r>
      <w:r>
        <w:rPr>
          <w:rFonts w:ascii="Times New Roman" w:cs="Times New Roman" w:eastAsia="Times New Roman" w:hAnsi="Times New Roman"/>
          <w:sz w:val="18"/>
          <w:szCs w:val="18"/>
          <w:i w:val="1"/>
          <w:iCs w:val="1"/>
          <w:color w:val="auto"/>
        </w:rPr>
        <w:t>.</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2021, the Chinese government has strengthened its anti-monopoly supervision, mainly in three aspects: (i) establishing the National Anti-Monopoly Bureau; (ii) revising and promulgating anti-monopoly laws and regulations, including: the Anti-Monopoly Law of the PRC (amended on June 24, 2022 and effective on August 1, 2022), the anti-monopoly guidelines for various industries, and the Detailed Rules for the Implementation of the Fair Competition Review System; and (iii) expanding the anti-monopoly law enforcement targeting Internet companies and large enterprises. As of the date of this prospectus, the Chinese government’s recent statements and regulatory actions related to anti-monopoly concerns have not impacted our or the PRC operating entities’ ability to conduct business or our ability to accept foreign investments or issue our securities to foreign investors because neither we and our subsidiaries, nor our PRC subsidiary and the VIEs engage in monopolistic behaviors that are subject to these statements or regulatory actions.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810" w:right="459" w:bottom="1440" w:gutter="0" w:footer="0" w:header="0"/>
        </w:sectPr>
      </w:pPr>
    </w:p>
    <w:bookmarkStart w:id="37" w:name="page38"/>
    <w:bookmarkEnd w:id="37"/>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313690</wp:posOffset>
            </wp:positionV>
            <wp:extent cx="7127875" cy="61849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27875" cy="6184900"/>
                    </a:xfrm>
                    <a:prstGeom prst="rect">
                      <a:avLst/>
                    </a:prstGeom>
                    <a:noFill/>
                  </pic:spPr>
                </pic:pic>
              </a:graphicData>
            </a:graphic>
          </wp:anchor>
        </w:drawing>
        <w:t>On February 17, 2023, the CSRC promulgated the Trial Measures and five supporting guidelines, which came into effect on March 31, 2023. Pursuant to the Trial Measures, we are required to complete the filing procedures within three working days after the completion of this offering. See “</w:t>
      </w:r>
      <w:r>
        <w:rPr>
          <w:rFonts w:ascii="Times New Roman" w:cs="Times New Roman" w:eastAsia="Times New Roman" w:hAnsi="Times New Roman"/>
          <w:sz w:val="18"/>
          <w:szCs w:val="18"/>
          <w:i w:val="1"/>
          <w:iCs w:val="1"/>
          <w:color w:val="auto"/>
        </w:rPr>
        <w:t>Item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Key Information—D. Risk Factors—Risks Relating to Doing Business in the PRC—The Opinions, the Trial Measures, and the revised Provisions recently issued by the PRC authorities may subject us to additional compliance requirements in the future</w:t>
      </w:r>
      <w:r>
        <w:rPr>
          <w:rFonts w:ascii="Times New Roman" w:cs="Times New Roman" w:eastAsia="Times New Roman" w:hAnsi="Times New Roman"/>
          <w:sz w:val="18"/>
          <w:szCs w:val="18"/>
          <w:color w:val="auto"/>
        </w:rPr>
        <w:t>” in the 2024 Annual Report,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in this prospectus by reference. Other than the foregoing, as of the date of this prospectus, according to Dacheng, no relevant PRC laws or regulations in effect require that we obtain permission from any PRC authorities to issue securities to foreign investors, and we have not received any inquiry, notice, warning, sanction, or any regulatory objection to our offerings from the CSRC, the CAC, or any other PRC authorities that have jurisdiction over our operations. Since these statements and regulatory actions are newly published, it is highly uncertain what the potential impact such modified or new laws and regulations will have on the daily business operations of our subsidiaries and the VIEs, our ability to accept foreign investments, and our listing on a U.S. exchange. The SCNPC or PRC regulatory authorities may in the future promulgate additional laws, regulations, or implementing rules that require us, our subsidiaries, or the VIEs to obtain regulatory approval from Chinese authorities before listing in the U.S. If we do not receive or maintain such approval, or inadvertently conclude that such approval is not required, or applicable laws, regulations, or interpretations change such that we are required to obtain approval in the future, we may be subject to an investigation by competent regulators, fines or penalties, or an order prohibiting us from conducting an offering, and these risks could result in a material adverse change in our operations and the value of our Class A Ordinary Shares, significantly limit or completely hinder our ability to offer or continue to offer securities to investors, or cause such securities to significantly decline in value or become worthless.</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our Class A Ordinary Shares may be prohibited from trading on a national exchange or over-the-counter under the HFCA Act if the PCAOB is unable to inspect our auditors for three consecutive years beginning in 2021. Our auditor prior to September 29, 2022, Friedman, which combined with Marcum LLP effective September 1, 2022, and our auditor for the period between September 29, 2022 and July 9, 2023, Marcum Asia, had been inspected by the PCAOB on a regular basis in the audit periods, and, Assentsure, our new auditor since July 10, 2023, as an auditor of companies that are traded publicly in the United States and a firm registered with the PCAOB, is subject to laws in the United States pursuant to which the PCAOB conducts regular inspections to assess its compliance with the applicable professional standards. Assentsure is headquartered in Singapore, and will be inspected by the PCAOB on a regular basis. None of the three auditors is subject to the determinations announced by the PCAOB on December 16, 2021. If trading in our Class A Ordinary Shares is prohibited under the HFCA Act in the future because the PCAOB determines that it cannot inspect or fully investigate our auditor at such future time, Nasdaq may determine to delist our Class A Ordinary Shares and trading in our Class A Ordinary Shares could be prohibited. On June 22, 2021, the U.S. Senate passed the Accelerating Holding Foreign Companies Accountable Act, and on December 29, 2022,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MOF, and the PCAOB signed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See “</w:t>
      </w:r>
      <w:r>
        <w:rPr>
          <w:rFonts w:ascii="Times New Roman" w:cs="Times New Roman" w:eastAsia="Times New Roman" w:hAnsi="Times New Roman"/>
          <w:sz w:val="18"/>
          <w:szCs w:val="18"/>
          <w:i w:val="1"/>
          <w:iCs w:val="1"/>
          <w:color w:val="auto"/>
        </w:rPr>
        <w:t>Item 3. Key Information—D. Risk Factors—Risks Relating to Doing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in the PRC—Joint statement by the SEC and the Public Company Accounting Oversight Board (United States) (the “PCAOB”), rule changes by Nasdaq, and the Holding Foreign Companies Accountable Act (the “HFCA Act”) all call for additional and more stringent criteria to be applied to emerging market companies upon assessing the qualification of their auditors, especially the non-U.S. auditors who are not inspected by the PCAOB. These developments could add uncertainties to our offerings</w:t>
      </w:r>
      <w:r>
        <w:rPr>
          <w:rFonts w:ascii="Times New Roman" w:cs="Times New Roman" w:eastAsia="Times New Roman" w:hAnsi="Times New Roman"/>
          <w:sz w:val="18"/>
          <w:szCs w:val="18"/>
          <w:color w:val="auto"/>
        </w:rPr>
        <w:t>” in the 2024 Annual Report, which is incorporated in this prospectus by reference.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810"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314325</wp:posOffset>
            </wp:positionV>
            <wp:extent cx="7127875" cy="5361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27875" cy="5361940"/>
                    </a:xfrm>
                    <a:prstGeom prst="rect">
                      <a:avLst/>
                    </a:prstGeom>
                    <a:noFill/>
                  </pic:spPr>
                </pic:pic>
              </a:graphicData>
            </a:graphic>
          </wp:anchor>
        </w:drawing>
        <w:t>Permissions Required from PRC Authorities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General Office of the Central Committee of the Communist Party of China and the General Office of the State Council jointly issued the “Opinions on Severely Cracking Down on Illegal Securities Activities According to Law,” or the “Opinions,” which were made available to the public on July 6, 2021. The Opinions emphasized the need to strengthen the administration over illegal securities activities and the need to strengthen the supervision over overseas listings by Chinese companies. Effective measures, such as promoting the construction of relevant regulatory systems, will be taken to deal with the risks and incidents of China-concept overseas listed companies, cybersecurity, data privacy protection requirements, and similar matters. The Opinions and any related implementing rules to be enacted may subject us to compliance requirements in the future.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17, 2023, the CSRC promulgated the Trial Measures and five supporting guidelines, which came into effect on March 31, 2023. Pursuant to the Trial Measures, domestic companies that seek to offer or list securities overseas, both directly and indirectly, shall complete filing procedures with the CSRC pursuant to the requirements of the Trial Measures within three working days following its submission of initial public offerings or listing application. Further, a filing-based regulatory system applies to “indirect overseas offerings and listings” of companies in mainland China, which refers to subsequent securities offerings and listings in an overseas market made under the name of an offshore entity but based on the underlying equity, assets, earnings or other similar rights of a company in mainland China that operates its main business in mainland China. The Trial Measures state that any post-listing follow-on offering by an issuer in a same overseas market, including issuance of shares, convertible notes where it has previously offered and other similar listed securities, shall be subject to filing requirement with the CSRC within three business days after the completion of the offering. If a domestic company fails to complete required filing procedures or conceals any material fact or falsifies any major content in its filing documents, such domestic company may be subject to administrative penalties, such as an order to rectify, warnings, fines, and its controlling shareholders, actual controllers, the person directly in charge and other directly liable persons may also be subject to administrative penalties, such as warnings and fines. See “</w:t>
      </w:r>
      <w:r>
        <w:rPr>
          <w:rFonts w:ascii="Times New Roman" w:cs="Times New Roman" w:eastAsia="Times New Roman" w:hAnsi="Times New Roman"/>
          <w:sz w:val="18"/>
          <w:szCs w:val="18"/>
          <w:i w:val="1"/>
          <w:iCs w:val="1"/>
          <w:color w:val="auto"/>
        </w:rPr>
        <w:t>Item 4. Information on the Company—B. Business Overview—Regulations—Regulations on Mergers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Acquisitions and Overseas Listings</w:t>
      </w:r>
      <w:r>
        <w:rPr>
          <w:rFonts w:ascii="Times New Roman" w:cs="Times New Roman" w:eastAsia="Times New Roman" w:hAnsi="Times New Roman"/>
          <w:sz w:val="18"/>
          <w:szCs w:val="18"/>
          <w:color w:val="auto"/>
        </w:rPr>
        <w:t>” in the 2024 Annual Report, which is incorporated in this prospectus by reference.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According to the Notice on the Administrative Arrangements for the Filing of the Overseas Securities Offering and Listing by Domestic Companies from the CSRC, or “the CSRC Notice,” the domestic companies that have already been listed overseas before the effective date of the Trial Measures (namely, March 31, 2023) shall be deemed as existing issuers (the “Existing Issuers”). Existing Issuers are not required to complete the filing procedures immediately, and they shall be required to file with the CSRC for any subsequent offerings. Further, according to the CSRC Notice, domestic companies that have obtained approval from overseas regulatory authorities or securities exchanges (for example, the effectiveness of a registration statement for offering and listing in the U.S. has been obtained) for their indirect overseas offering and listing prior to March 31, 2023 but have not yet completed their indirect overseas issuance and listing, are granted a six-month transition period from March 31, 2023 to September 30, 2023. Those that complete their indirect overseas offering and listing within such six-month period are deemed as Existing Issuers and are not required to file with the CSRC for their indirect overseas offerings and listings. Within such six-month transition period, however, if such domestic companies fail to complete their indirect overseas issuance and listing, they shall complete the filing procedures with the CSRC.</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the foregoing, we are required to complete the filing procedures in relation to this offering within three working days after the completion of this offering pursuant to the Trial Measures.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806" w:right="459" w:bottom="1440" w:gutter="0" w:footer="0" w:header="0"/>
        </w:sectPr>
      </w:pPr>
    </w:p>
    <w:bookmarkStart w:id="39" w:name="page40"/>
    <w:bookmarkEnd w:id="39"/>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314325</wp:posOffset>
            </wp:positionV>
            <wp:extent cx="7127875" cy="59105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27875" cy="5910580"/>
                    </a:xfrm>
                    <a:prstGeom prst="rect">
                      <a:avLst/>
                    </a:prstGeom>
                    <a:noFill/>
                  </pic:spPr>
                </pic:pic>
              </a:graphicData>
            </a:graphic>
          </wp:anchor>
        </w:drawing>
        <w:t>On February 24, 2023, the CSRC, together with the MOF, National Administration of State Secrets Protection and National Archives Administration of China, revised the Provisions on Strengthening Confidentiality and Archives Administration for Overseas Securities Offering and Listing, which were issued by the CSRC and National Administration of State Secrets Protection and National Archives Administration of China in 2009, or the “Provisions.” The revised Provisions were issued under the title the “Provisions on Strengthening Confidentiality and Archives Administration of Overseas Securities Offering and Listing by Domestic Companies,” and came into effect on March 31, 2023 together with the Trial Measures. One of the major revisions to the revised Provisions is expanding their application to cover indirect overseas offering and listing, as is consistent with the Trial Measures. The revised Provisions require that, among other things, (a) a domestic company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and (b) a domestic company that plans to, either directly or indirectly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Any failure or perceived failure by our Company, our subsidiaries, or the VIEs to comply with the above confidentiality and archives administration requirements under the revised Provisions and other PRC laws and regulations may result in the relevant entities being held legally liable by competent authorities, and referred to the judicial organ to be investigated for criminal liability if suspected of committing a crime.</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there are still uncertainties regarding the interpretation and implementation of such regulatory guidance, we cannot assure you that we will be able to comply with new regulatory requirements relating to our future overseas capital-raising activities and we may become subject to more stringent requirements with respect to matters such as cross-border investigation, data privacy, and enforcement of legal claims. See “</w:t>
      </w:r>
      <w:r>
        <w:rPr>
          <w:rFonts w:ascii="Times New Roman" w:cs="Times New Roman" w:eastAsia="Times New Roman" w:hAnsi="Times New Roman"/>
          <w:sz w:val="18"/>
          <w:szCs w:val="18"/>
          <w:i w:val="1"/>
          <w:iCs w:val="1"/>
          <w:color w:val="auto"/>
        </w:rPr>
        <w:t>Item 3. Key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 Risk Factors—Risks Relating to Doing Business in the PRC—The Opinions, the Trial Measures, and the revised Provisions recently issued by the PRC authorities may subject us to additional compliance requirements in the future</w:t>
      </w:r>
      <w:r>
        <w:rPr>
          <w:rFonts w:ascii="Times New Roman" w:cs="Times New Roman" w:eastAsia="Times New Roman" w:hAnsi="Times New Roman"/>
          <w:sz w:val="18"/>
          <w:szCs w:val="18"/>
          <w:color w:val="auto"/>
        </w:rPr>
        <w:t>” in the 2024 Annual Report, which is incorporated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by reference.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the foregoing, as of the date of this prospectus, we are not aware of any PRC laws or regulations in effect requiring that we obtain permission or approval from any PRC authorities for our subsidiaries or the VIEs’ operations and to issue securities to foreign investors, and we have not received any inquiry, notice, warning, sanction, or any regulatory objection to our offerings from the CSRC, the CAC, or any other PRC authorities that have jurisdiction over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or Distributions Made to our Company and U.S. Investors and Tax Consequences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none of our subsidiaries or VIEs have made any dividends or distributions to our Company and our Company has not made any dividends or distributions to our shareholders. We intend to keep any future earnings to finance the expansion of our business, and we do not anticipate that any cash dividends will be paid in the foreseeable future. Subject to the passive foreign investment company (“PFIC”) rules, the gross amount of distributions we make to investors with respect to our Class A Ordinary Shares (including the amount of any taxes withheld therefrom) will be taxable as a dividend, to the extent that the distribution is paid out of our current or accumulated earnings and profits, as determined under U.S. federal income tax principles.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Cayman Islands law, a Cayman Islands company may pay a dividend on its shares out of either profit or share premium amount, provided that in no circumstances may a dividend be paid if this would result in the company being unable to pay its debts due in the ordinary course of business.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810" w:right="459" w:bottom="1440" w:gutter="0" w:footer="0" w:header="0"/>
        </w:sectPr>
      </w:pPr>
    </w:p>
    <w:bookmarkStart w:id="40" w:name="page41"/>
    <w:bookmarkEnd w:id="40"/>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314325</wp:posOffset>
            </wp:positionV>
            <wp:extent cx="7127875" cy="70078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27875" cy="7007860"/>
                    </a:xfrm>
                    <a:prstGeom prst="rect">
                      <a:avLst/>
                    </a:prstGeom>
                    <a:noFill/>
                  </pic:spPr>
                </pic:pic>
              </a:graphicData>
            </a:graphic>
          </wp:anchor>
        </w:drawing>
        <w:t xml:space="preserve">If we determine to pay dividends on any of our Class A Ordinary Shares or Class B Ordinary Shares in the future, as a holding company, we will depend on receipt of funds from our PRC subsidiary and from the VIEs to our PRC subsidiary in accordance with the VIE Agreements. Pursuant to the PRC Enterprise Income Tax Law (the “EIT Law”) and its implementation rules, any dividends paid by Xinjiang United Family to Jenyd will be subject to a withholding tax rate of 10%. However, if Jenyd is determined by the relevant PRC tax authority to have satisfied the relevant conditions and requirements under the Arrangement between the Mainland China and the Hong Kong Special Administrative Region for the Avoidance of Double Taxation and Tax Evasion on Income (“Double Tax Avoidance Arrangement”) and other applicable laws, the 10% withholding tax on the dividends Jenyd receives from Xinjiang United Family may be reduced to 5%. See </w:t>
      </w:r>
      <w:r>
        <w:rPr>
          <w:rFonts w:ascii="Times New Roman" w:cs="Times New Roman" w:eastAsia="Times New Roman" w:hAnsi="Times New Roman"/>
          <w:sz w:val="18"/>
          <w:szCs w:val="18"/>
          <w:i w:val="1"/>
          <w:iCs w:val="1"/>
          <w:color w:val="auto"/>
        </w:rPr>
        <w:t>“Item 3. Key Information—D. Risk Factors—Risks Relating to Doing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the PRC—There are significant uncertainties under the EIT Law relating to the withholding tax liabilities of our PRC subsidiary, and dividends payable by our PRC subsidiary to our offshore subsidiaries may not qualify to enjoy certain treaty benefits</w:t>
      </w:r>
      <w:r>
        <w:rPr>
          <w:rFonts w:ascii="Times New Roman" w:cs="Times New Roman" w:eastAsia="Times New Roman" w:hAnsi="Times New Roman"/>
          <w:sz w:val="18"/>
          <w:szCs w:val="18"/>
          <w:color w:val="auto"/>
        </w:rPr>
        <w:t>” in the 2024 Annual Report,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in this prospectus by reference.</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Current PRC regulations permit our indirect PRC subsidiary to pay dividends to Jenyd only out of its accumulated profits, if any, determined in accordance with Chinese accounting standards and regulations. In addition, our PRC subsidiary is required to set aside at least 10% of its after-tax profits each year, if any, to fund a statutory reserve until such reserve reaches 50% of its registered capital. Each of such entity in the PRC is also required to further set aside a portion of its after-tax profits to fund the employee welfare fund, although the amount to be set aside, if any, is determined at the discretion of its board of directors. Although the statutory reserves can be used, among other ways, to increase the registered capital and eliminate future losses in excess of retained earnings of the respective companies, the reserve funds are not distributable as cash dividends except in the event of liquidation. Furthermore, if our subsidiaries and affiliates in the PRC incur debt on their own in the future, the instruments governing the debt may restrict their ability to pay dividends or make other payments. If we or our subsidiaries are unable to receive all of the revenue from our operations, we may be unable to pay dividends on our Class A Ordinary Shares or Class B Ordinary Shares.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existing PRC foreign exchange regulations, payments of current account items, including profit distributions, interest payments, and trade and service-related foreign exchange transactions, can be made in foreign currencies, without prior approval of State Administration of Foreign Exchange (“SAFE”), by complying with certain procedural requirements. Specifically, without prior approval of SAFE, cash generated from the operations in PRC may be used to pay dividends to our Company. As of the date of this prospectus, our PRC subsidiary, Xinjiang United Family, has conducted the foreign exchange registration related to our Company under the existing PRC foreign exchange regulations, which enables our PRC subsidiary to legally distribute their earnings to our Company.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Company’s ability to settle amounts owed under the VIE Agreements relies upon payments made from the VIEs to Xinjiang United Family in accordance with the VIE Agreements. For services rendered to the UFG Entity by Xinjiang United Family under the Exclusive Service Agreement, Xinjiang United Family is entitled to collect a service fee equal to the net profit after tax of the UFG Entity. Pursuant to the Call Option Agreement, Xinjiang United Family may at any time and under any circumstances, require the UFG Operator to transfer, at its discretion, to the extent permitted under PRC law, all or part of the UFG Operator’s assets in the UFG Entity to Xinjiang United Family (or its designee). For restrictions and limitations on our ability to settle amounts owed under the VIE Agreements, please see “</w:t>
      </w:r>
      <w:r>
        <w:rPr>
          <w:rFonts w:ascii="Times New Roman" w:cs="Times New Roman" w:eastAsia="Times New Roman" w:hAnsi="Times New Roman"/>
          <w:sz w:val="18"/>
          <w:szCs w:val="18"/>
          <w:i w:val="1"/>
          <w:iCs w:val="1"/>
          <w:color w:val="auto"/>
        </w:rPr>
        <w:t>Item 3. Key Information—D. Risk Factors—Risks Relating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Structure—The VIE Agreements with the UFG Entities and the UFG Operators may not be effective in providing control over the UFG Entities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“Item 3. Key Information—D. Risk Factors—Risks Relating to Our Corporate Structure—If the PRC government determines that the VIE Agreements do not comply with PRC regulations, or if these regulations change or are interpreted differently in the future, we may be unable to assert our contractual rights over the assets of the VIEs, and our Class A Ordinary Shares may decline in value or become worthless</w:t>
      </w:r>
      <w:r>
        <w:rPr>
          <w:rFonts w:ascii="Times New Roman" w:cs="Times New Roman" w:eastAsia="Times New Roman" w:hAnsi="Times New Roman"/>
          <w:sz w:val="18"/>
          <w:szCs w:val="18"/>
          <w:color w:val="auto"/>
        </w:rPr>
        <w:t>” in the 2024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which is incorporated in this prospectus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Our Being an “Emerging Growth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company with less than $1.235 billion in revenue during our last fiscal year, we qualify as an “emerging growth company” as defined in the Jumpstart Our Business Startups Act of 2012, or the “JOBS Act.” An “emerging growth company” may take advantage of reduced reporting requirements that are otherwise applicable to larger public companies. In particular, as an emerging growth company, we:</w:t>
      </w:r>
    </w:p>
    <w:p>
      <w:pPr>
        <w:spacing w:after="0" w:line="176" w:lineRule="exact"/>
        <w:rPr>
          <w:sz w:val="20"/>
          <w:szCs w:val="20"/>
          <w:color w:val="auto"/>
        </w:rPr>
      </w:pPr>
    </w:p>
    <w:p>
      <w:pPr>
        <w:ind w:left="640" w:right="20" w:hanging="324"/>
        <w:spacing w:after="0" w:line="28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provide a detailed narrative disclosure discussing our compensation principles, objectives and elements and analyzing how those elements fit with our principles and objectives, which is commonly referred to as “compensation discussion and analysis”;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810" w:right="459" w:bottom="1440" w:gutter="0" w:footer="0" w:header="0"/>
        </w:sectPr>
      </w:pPr>
    </w:p>
    <w:bookmarkStart w:id="41" w:name="page42"/>
    <w:bookmarkEnd w:id="41"/>
    <w:p>
      <w:pPr>
        <w:ind w:left="640" w:right="20" w:hanging="324"/>
        <w:spacing w:after="0" w:line="28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314325</wp:posOffset>
            </wp:positionV>
            <wp:extent cx="7127875" cy="63220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27875" cy="6322060"/>
                    </a:xfrm>
                    <a:prstGeom prst="rect">
                      <a:avLst/>
                    </a:prstGeom>
                    <a:noFill/>
                  </pic:spPr>
                </pic:pic>
              </a:graphicData>
            </a:graphic>
          </wp:anchor>
        </w:drawing>
        <w:t>are not required to obtain an attestation and report from our auditors on our management’s assessment of our internal control over financial reporting pursuant to the Sarbanes-Oxley Act of 2002;</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obtain a non-binding advisory vote from our shareholders on executive compensation or golden parachute arrangements (commonly referred to as the “say-on-pay,” “say-on frequency,” and “say-on-golden-parachute” votes);</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exempt from certain executive compensation disclosure provisions requiring a pay-for-performance graph and CEO pay ratio disclosure;</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eligible to claim longer phase-in periods for the adoption of new or revised financial accounting standards under §107 of the JOBS Act; and</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conduct an evaluation of our internal control over financial reporting until our second annual report on Form 20-F following the effectiveness of our IPO.</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intend to take advantage of all of these reduced reporting requirements and exemptions, other than the longer phase-in periods for the adoption of new or revised financial accounting standards under §107 of the JOBS Act.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JOBS Act, we may take advantage of the above-described reduced reporting requirements and exemptions until we no longer meet the definition of an emerging growth company. The JOBS Act provides that we would cease to be an “emerging growth company” at the end of the fiscal year in which the fifth anniversary of our initial sale of common equity pursuant to a registration statement declared effective under the Securities Act of 1933, as amended (the “Securities Act”), occurred, if we have more than $1.235 billion in annual revenue, have more than $700 million in market value of our Class A Ordinary Shares held by non-affiliates, or issue more than $1 billion in principal amount of non-convertible debt over a three-year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Status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Securities Exchange Act of 1934, as amended (the “Exchange Act”). As such, we are exempt from certain provisions applicable to U.S. domestic public companies. For example:</w:t>
      </w:r>
    </w:p>
    <w:p>
      <w:pPr>
        <w:spacing w:after="0" w:line="162" w:lineRule="exact"/>
        <w:rPr>
          <w:sz w:val="20"/>
          <w:szCs w:val="20"/>
          <w:color w:val="auto"/>
        </w:rPr>
      </w:pPr>
    </w:p>
    <w:p>
      <w:pPr>
        <w:ind w:left="640" w:hanging="324"/>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provide as many Exchange Act reports, or as frequently, as a domestic public company;</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interim reporting, we are permitted to comply solely with our home country requirements, which are less rigorous than the rules that apply to domestic public companies;</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provide the same level of disclosure on certain issues, such as executive compensation;</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exempt from provisions of Regulation FD aimed at preventing issuers from making selective disclosures of material information;</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comply with the sections of the Exchange Act regulating the solicitation of proxies, consents, or authorizations in respect of a security registered under the Exchange Act; and</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comply with Section 16 of the Exchange Act requiring insiders to file public reports of their share ownership and trading activities and establishing insider liability for profits realized from any “short-swing” trading transaction.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810"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314325</wp:posOffset>
            </wp:positionV>
            <wp:extent cx="7127875" cy="41275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27875" cy="4127500"/>
                    </a:xfrm>
                    <a:prstGeom prst="rect">
                      <a:avLst/>
                    </a:prstGeom>
                    <a:noFill/>
                  </pic:spPr>
                </pic:pic>
              </a:graphicData>
            </a:graphic>
          </wp:anchor>
        </w:drawing>
        <w:t>Controlled Company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completion of this offering, Mr. Gang Li, will continue to own a majority of the aggregate voting power of our issued and outstanding ordinary shares and will be able to determine all matters requiring approval by our shareholders. As such, we will continue to be deemed a “controlled company” under Nasdaq Listing Rules 5615(c). As a controlled company, we are permitted to elect to rely on certain exemptions from the obligations to comply with certain corporate governance requirements, including:</w:t>
      </w:r>
    </w:p>
    <w:p>
      <w:pPr>
        <w:spacing w:after="0" w:line="180" w:lineRule="exact"/>
        <w:rPr>
          <w:sz w:val="20"/>
          <w:szCs w:val="20"/>
          <w:color w:val="auto"/>
        </w:rPr>
      </w:pPr>
    </w:p>
    <w:p>
      <w:pPr>
        <w:ind w:left="640" w:hanging="32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director nominees be selected or recommended solely by independent directors; and</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nominating and corporate governance committee and a compensation committee that are composed entirely of independent directors with a written charter addressing the purposes and responsibilities of the committees.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Although we do not intend to rely on the controlled company exemptions under the Nasdaq listing rules even if we are deemed a controlled company, we could elect to rely on these exemptions in the future, and if so, you would not have the same protection afforded to shareholders of companies that are subject to all of the corporate governance requirements of Nasdaq. See </w:t>
      </w:r>
      <w:r>
        <w:rPr>
          <w:rFonts w:ascii="Times New Roman" w:cs="Times New Roman" w:eastAsia="Times New Roman" w:hAnsi="Times New Roman"/>
          <w:sz w:val="18"/>
          <w:szCs w:val="18"/>
          <w:i w:val="1"/>
          <w:iCs w:val="1"/>
          <w:color w:val="auto"/>
        </w:rPr>
        <w:t>“Item 3. Key Information—D. Risk Factors—Risks Relating to Our 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Ordinary Shares and the Trading Market—Since we are a ‘controlled company’ within the meaning of the Nasdaq listing rules, we may follow certain exemptions from certain corporate governance requirements that could adversely affect our public shareholders” </w:t>
      </w:r>
      <w:r>
        <w:rPr>
          <w:rFonts w:ascii="Times New Roman" w:cs="Times New Roman" w:eastAsia="Times New Roman" w:hAnsi="Times New Roman"/>
          <w:sz w:val="18"/>
          <w:szCs w:val="18"/>
          <w:color w:val="auto"/>
        </w:rPr>
        <w:t>in the 2024 Annual Report,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in this prospectus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principal executive offices are located at B9 Xinjiang Chuangbo Zhigu Industrial Park, No. 100 Guangyuan Road, Shuimogou District, Urumqi, Xinjiang, China 830017, and our phone number is +86-0991-2302709. Our registered office in the Cayman Islands is located at 4th Floor, Harbour Place, 103 South Church Street, PO Box 10240, Grand Cayman, KY1-1002 Cayman Islands, and the phone number of our registered office is +1-345-949-8599. We maintain corporate websites at www.ir.chanson-international.net, www.patisseriechanson.us, and www.thymebarnyc.com. The information contained in, or accessible from, our websites or any other website does not constitute a part of this prospectus. Our agent for service of process in the U.S. is George Chanson (NY) Corp., located at 41 Madison Avenue, New York, NY 10010.</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806" w:right="45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making an investment decision, you should carefully consider the risks described under “Risk Factors” in the applicable prospectus supplement and under the heading “</w:t>
      </w:r>
      <w:r>
        <w:rPr>
          <w:rFonts w:ascii="Times New Roman" w:cs="Times New Roman" w:eastAsia="Times New Roman" w:hAnsi="Times New Roman"/>
          <w:sz w:val="18"/>
          <w:szCs w:val="18"/>
          <w:i w:val="1"/>
          <w:iCs w:val="1"/>
          <w:color w:val="auto"/>
        </w:rPr>
        <w:t>Item 3. Key Information—D. Risk Factors</w:t>
      </w:r>
      <w:r>
        <w:rPr>
          <w:rFonts w:ascii="Times New Roman" w:cs="Times New Roman" w:eastAsia="Times New Roman" w:hAnsi="Times New Roman"/>
          <w:sz w:val="18"/>
          <w:szCs w:val="18"/>
          <w:color w:val="auto"/>
        </w:rPr>
        <w:t>” in the 2024 Annual Report, which is incorporated in this prospectus by reference, together with any other information appearing or incorporated by reference in this prospectus and in any accompanying prospectus supplement, in light of your particular investment objectives and financial circumstances. In addition to those risk factors, there may be additional risks and uncertainties of which our management is unaware or deems immaterial. Our business, financial condition, or results of operations could be materially and adversely affected by any of these risks. The trading price of our Class A Ordinary Shares could decline due to any of these risks, and you may lose all or part of your investment.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OFFER STATISTICS AND EXPECTED TIMETABLE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from time to time, offer and sell any combination of the securities described in this prospectus up to a total dollar amount of $300,000,000 in one or more offerings. The securities offered under this prospectus may be offered separately, together, or in separate series, and in amounts, at prices, and on terms to be determined at the time of sale. We will keep the registration statement of which this prospectus is a part effective until such time as all of the securities covered by this prospectus have been disposed of pursuant to such registration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capitalization will be set forth in the applicable prospectus supplement or in a report on Form 6-K subsequently furnished to the SEC and specifically incorporated by reference into this 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required, we will set forth in a prospectus supplement the following information regarding any material dilution of the equity interests of investors purchasing securities in an offering under this prospectus:</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tangible book value per share of our equity securities before and after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increase in such net tangible book value per share attributable to the cash payments made by purchasers in the offering;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immediate dilution from the public offering price which will be absorbed by such purchasers.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securities we offer as indicated in the applicable prospectus supplement, information incorporated by reference, or free writing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proceeds from the sale of our Class A ordinary shares by the selling shareholders (if 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Information contained under the heading “</w:t>
      </w:r>
      <w:r>
        <w:rPr>
          <w:rFonts w:ascii="Times New Roman" w:cs="Times New Roman" w:eastAsia="Times New Roman" w:hAnsi="Times New Roman"/>
          <w:sz w:val="18"/>
          <w:szCs w:val="18"/>
          <w:i w:val="1"/>
          <w:iCs w:val="1"/>
          <w:color w:val="auto"/>
        </w:rPr>
        <w:t>Item 10. Additional Information</w:t>
      </w:r>
      <w:r>
        <w:rPr>
          <w:rFonts w:ascii="Times New Roman" w:cs="Times New Roman" w:eastAsia="Times New Roman" w:hAnsi="Times New Roman"/>
          <w:sz w:val="18"/>
          <w:szCs w:val="18"/>
          <w:color w:val="auto"/>
        </w:rPr>
        <w:t>” in the 2024 Annual Report is incorporated into this prospectus by reference.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our securities. We may issue the warrants independently or together with any underlying securities, and the warrants may be attached or separate from the underlying securities. We may also issue a series of warrants under a separate warrant agreement to be entered into between us and a warrant agent. The warrant agent will act solely as our agent in connection with the warrants of such series and will not assume any obligation or relationship of agency for or with holders or beneficial owners of warrants.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description is a summary of selected provisions relating to the warrants that we may issue. The summary is not complete. When warrants are offered in the future, a prospectus supplement, information incorporated by reference, or a free writing prospectus, as applicable, will explain the particular terms of those securities and the extent to which these general provisions may apply. The specific terms of the warrants as described in a prospectus supplement, information incorporated by reference, or free writing prospectus will supplement and, if applicable, may modify or replace the general terms described in this section.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both"/>
        <w:spacing w:after="0" w:line="258" w:lineRule="auto"/>
        <w:rPr>
          <w:sz w:val="20"/>
          <w:szCs w:val="20"/>
          <w:color w:val="auto"/>
        </w:rPr>
      </w:pPr>
      <w:r>
        <w:rPr>
          <w:rFonts w:ascii="Times New Roman" w:cs="Times New Roman" w:eastAsia="Times New Roman" w:hAnsi="Times New Roman"/>
          <w:sz w:val="18"/>
          <w:szCs w:val="18"/>
          <w:color w:val="auto"/>
        </w:rPr>
        <w:t>This summary and any description of warrants in the applicable prospectus supplement, information incorporated by reference, or free writing prospectus is subject to and is qualified in its entirety by reference to all the provisions of any specific warrant document or agreement, if applicable. We will file each of these documents, as applicable, with the SEC and incorporate them by reference as an exhibit to the registration statement of which this prospectus is a part on or before the time we issue a series of warrants. See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Documents by Reference</w:t>
      </w:r>
      <w:r>
        <w:rPr>
          <w:rFonts w:ascii="Times New Roman" w:cs="Times New Roman" w:eastAsia="Times New Roman" w:hAnsi="Times New Roman"/>
          <w:sz w:val="18"/>
          <w:szCs w:val="18"/>
          <w:color w:val="auto"/>
        </w:rPr>
        <w:t>” below for information on how to obtain a copy of a warrant document when it is filed.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we refer to a series of warrants, we mean all warrants issued as part of the same series under the applicable warrant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information incorporated by reference, or free writing prospectus, may describe the terms of any warrants that we may offer, including, but not limited to, the following:</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may be exercised;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that investors may use to pay for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registered 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warrants that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underlying securities with which the warrants are issued and the number of warrants issued with each underlying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underlying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federal income tax considerations;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terms of redemption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and conditions relating to the exercise of the warrants;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Warrant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the warrants in one or more series under one or more warrant agreements, each to be entered into between us and a bank, trust company, or other financial institution as warrant agent. We may add, replace, or terminate warrant agents from time to time. We may also choose to act as our own warrant agent or may choose one of our subsidiaries to do so.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agent under a warrant agreement will act solely as our agent in connection with the warrants issued under that agreement. Any holder of warrants may, without the consent of any other person, enforce by appropriate legal action, on its own behalf, its right to exercise those warrants in accordance with their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issue the warrants in registered form. Warrants issued in registered form, i.e., book-entry form, will be represented by a global security registered in the name of a depository, which will be the holder of all the warrants represented by the global security. Those investors who own beneficial interests in a global warrant will do so through participants in the depository’s system, and the rights of these indirect owners will be governed solely by the applicable procedures of the depository and its participants.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exercise of their warrants, holders of warrants exercisable for Class A Ordinary Shares or Class B Ordinary Shares will not have any rights of holders of Class A Ordinary Shares or Class B Ordinary Shares and will not be entitled to dividend payments, if any, or voting rights of the Class A Ordinary Shares or Class B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warrant will entitle the holder to purchase for cash an amount of securities at an exercise price that will be stated in, or that will be determinable as described in, the applicable prospectus supplement, information incorporated by reference, or free writing prospectus. Warrants may be exercised at any time up to the close of business on the expiration date set forth in the applicable offering material. After the close of business on the expiration date, unexercised warrants will become void. Warrants may be redeemed as set forth in the applicable offering material.</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Warrants may be exercised as set forth in the applicable offering material. Upon receipt of payment and the warrant certificate properly completed and duly executed at the corporate trust office of the warrant agent or any other office indicated in the applicable offering material, we will forward, as soon as practicable, the securities purchasable upon such exercise. If less than all of the warrants represented by such warrant certificate are exercised, a new warrant certificate will be issued for the remaining warrants.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supplement relating to any rights that we offer will include specific terms relating to the offering, including, among other matters:</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 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 and the aggregate amount of securities purchasable upon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completion of the rights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rights will expire;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federal income tax considerations.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composed of any combination of our securities.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description is a summary of selected provisions relating to units that we may offer. The summary is not complete. When units are offered in the future, a prospectus supplement, information incorporated by reference, or a free writing prospectus, as applicable, will explain the particular terms of those securities and the extent to which these general provisions may apply. The specific terms of the units as described in a prospectus supplement, information incorporated by reference, or free writing prospectus will supplement and, if applicable, may modify or replace the general terms described in this section.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summary and any description of units in the applicable prospectus supplement, information incorporated by reference, or free writing prospectus, is subject to and is qualified in its entirety by reference to the unit agreement, collateral arrangements, and depositary arrangements, if applicable. We will file each of these documents, as applicable, with the SEC and incorporate them by reference as an exhibit to the registration statement of which this prospectus is a part on or before the time we issue a series of units. See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Documents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 below for information on how to obtain a copy of a document when it is filed.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prospectus supplement, information incorporated by reference, or free writing prospectus may describe:</w:t>
      </w:r>
    </w:p>
    <w:p>
      <w:pPr>
        <w:spacing w:after="0" w:line="225" w:lineRule="exact"/>
        <w:rPr>
          <w:sz w:val="20"/>
          <w:szCs w:val="20"/>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composing the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The applicable provisions described in this section, as well as those described under “</w:t>
      </w:r>
      <w:r>
        <w:rPr>
          <w:rFonts w:ascii="Times New Roman" w:cs="Times New Roman" w:eastAsia="Times New Roman" w:hAnsi="Times New Roman"/>
          <w:sz w:val="18"/>
          <w:szCs w:val="18"/>
          <w:i w:val="1"/>
          <w:iCs w:val="1"/>
          <w:color w:val="auto"/>
        </w:rPr>
        <w:t>Description of Share Capital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Warrants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Rights</w:t>
      </w:r>
      <w:r>
        <w:rPr>
          <w:rFonts w:ascii="Times New Roman" w:cs="Times New Roman" w:eastAsia="Times New Roman" w:hAnsi="Times New Roman"/>
          <w:sz w:val="18"/>
          <w:szCs w:val="18"/>
          <w:color w:val="auto"/>
        </w:rPr>
        <w:t>” above, will apply to each unit and to each security included in each unit, respectively.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or the selling shareholders may sell the securities offered by this prospectus from time to time in one or more transactions, including, without limitation:</w:t>
      </w:r>
    </w:p>
    <w:p>
      <w:pPr>
        <w:spacing w:after="0" w:line="16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(acting as agent or principal);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us to purchasers (including our affiliates and shareholders), through a specific bidding or auction process, a rights offering, or other method;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including:</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transactions (which may involve crosses) and transactions on Nasdaq or any other organized market where the securities may be traded;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own account pursuant to a prospectus supplement;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“at the market” to or through a market maker or into an existing trading market, on an exchange or otherwise;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other ways not involving market makers or established trading markets, including direct sales to purchasers.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may be sold at a fixed price or prices, which may be changed, or at market prices prevailing at the time of sale, at prices relating to the prevailing market prices or at negotiated prices. The consideration may be cash, extinguishment of debt,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and commissions under the Securities Act. If such dealers or agents were deemed to be underwriters, they may be subject to statutory liabilities under the Securities Act.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make direct sales through subscription rights distributed to our existing shareholders on a pro rata basis, which may or may not be transferable. In any distribution of subscription rights to our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pay expenses incurred with respect to the registration of shares owned by any selling shareholders.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or all of the securities that we offer through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jc w:val="both"/>
        <w:spacing w:after="0" w:line="261" w:lineRule="auto"/>
        <w:rPr>
          <w:sz w:val="20"/>
          <w:szCs w:val="20"/>
          <w:color w:val="auto"/>
        </w:rPr>
      </w:pPr>
      <w:r>
        <w:rPr>
          <w:rFonts w:ascii="Times New Roman" w:cs="Times New Roman" w:eastAsia="Times New Roman" w:hAnsi="Times New Roman"/>
          <w:sz w:val="18"/>
          <w:szCs w:val="18"/>
          <w:color w:val="auto"/>
        </w:rPr>
        <w:t>Agents may, from time to time, solicit offers to purchase the securities. If required, we or the selling shareholders will name in the applicable prospectus supplement, document incorporated by reference, or free writing prospectus, as applicable, any agent involved in the offer or sale of the securities and set forth any compensation payable to the agent. Unless otherwise indicated, any agent will be acting on a best efforts basis for the period of its appointment. Any agent selling the securities covered by this prospectus may be deemed to be an underwriter of the securities.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underwriters are used in an offering,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This prospectus, the applicable prospectus supplement, and any applicable free writing prospectus will be used by the underwriters to resell the securities.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dealer is used in the sale of the securities, we, or the selling shareholders, or an underwriter, will sell the securities to the dealer, as principal. The dealer may then resell the securities to the public at varying prices to be determined by the dealer at the time of resale. To the extent required, we will set forth in the prospectus supplement, document incorporated by reference, or free writing prospectus, as applicable, the name of the dealer and the terms of the transactions.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or the selling shareholders may directly solicit offers to purchase the securities and may make sales of securities directly to institutional investors or others. These persons may be deemed to be underwriters with respect to any resale of the securities. To the extent required, the prospectus supplement, document incorporated by reference, or free writing prospectus, as applicable, will describe the terms of any such sales, including the terms of any bidding or auction process, if used.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which may be entered into with us to indemnification by us against specified liabilities, including liabilities incurred under the Securities Act, or to contribution by us to payments they may be required to make in respect of such liabilities. If required, the prospectus supplement, document incorporated by reference, or free writing prospectus, as applicable, will describe the terms and conditions of such indemnification or contribution. Some of the agents, underwriters, or dealers, or their affiliates may be customers of, engage in transactions with or perform services for us or our subsidiaries or affiliates in the ordinary course of business.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securities laws of some states, the securities offered by this prospectus may be sold in those states only through registered or licensed brokers or dealers.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person participating in the distribution of securities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securities by any such person. Furthermore, Regulation M may restrict the ability of any person engaged in the distribution of our securities to engage in market-making activities with respect to our securities.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restrictions may affect the marketability of our securities and the ability of any person or entity to engage in market-making activities with respect to our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Material income tax consequences relating to the purchase, ownership, and disposition of the securities offered by this prospectus are set forth in “</w:t>
      </w:r>
      <w:r>
        <w:rPr>
          <w:rFonts w:ascii="Times New Roman" w:cs="Times New Roman" w:eastAsia="Times New Roman" w:hAnsi="Times New Roman"/>
          <w:sz w:val="18"/>
          <w:szCs w:val="18"/>
          <w:i w:val="1"/>
          <w:iCs w:val="1"/>
          <w:color w:val="auto"/>
        </w:rPr>
        <w:t>Item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Information—E. Taxation</w:t>
      </w:r>
      <w:r>
        <w:rPr>
          <w:rFonts w:ascii="Times New Roman" w:cs="Times New Roman" w:eastAsia="Times New Roman" w:hAnsi="Times New Roman"/>
          <w:sz w:val="18"/>
          <w:szCs w:val="18"/>
          <w:color w:val="auto"/>
        </w:rPr>
        <w:t>” in the 2024 Annual Report, which is incorporated herein by reference, as updated by our subsequent filings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that are incorporated by reference and, if applicable, in any accompanying prospectus supplement or relevant free writing prospectus.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shareholders to be named in a prospectus supplement may, from time to time, offer and sell Class A ordinary shares of our company held by them pursuant to this prospectus and the applicable prospectus supplement. Such selling shareholders may sell Class A ordinary shares to or through underwriters, dealers or agents or directly to purchasers or as otherwise set forth in the applicable prospectus supplement.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Such selling shareholders may also sell, transfer or otherwise dispose of Class A ordinary shares in transactions exempt from the registration requirements of the Securities Act.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selling shareholder is to offer and sell Class A ordinary shares pursuant to this prospectus, we will provide you with a prospectus supplement that sets forth the name of each such selling shareholder and the number of Class A ordinary shares beneficially owned by each such selling shareholder. The prospectus supplement also will disclose whether any of the selling shareholders have held any position or office with, have been employed by, or otherwise have had a material relationship with us during the three years prior to the date of the prospectus supplement.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incur a SEC registration fee of $45,930, and will also incur printing costs, legal fees and expenses, accounting fees and expenses, and other listing and qualifications fees in connection with the offering of securities. Expenses of any of the securities offered by this prospectus will be set forth in the applicable prospectus supplement(s) relating to the offering of those securities.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CONTRACTS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Our material contracts are described in the documents incorporated by reference into this prospectus. See “</w:t>
      </w:r>
      <w:r>
        <w:rPr>
          <w:rFonts w:ascii="Times New Roman" w:cs="Times New Roman" w:eastAsia="Times New Roman" w:hAnsi="Times New Roman"/>
          <w:sz w:val="18"/>
          <w:szCs w:val="18"/>
          <w:i w:val="1"/>
          <w:iCs w:val="1"/>
          <w:color w:val="auto"/>
        </w:rPr>
        <w:t>Incorporation of Documents by Reference”</w:t>
      </w:r>
      <w:r>
        <w:rPr>
          <w:rFonts w:ascii="Times New Roman" w:cs="Times New Roman" w:eastAsia="Times New Roman" w:hAnsi="Times New Roman"/>
          <w:sz w:val="18"/>
          <w:szCs w:val="18"/>
          <w:color w:val="auto"/>
        </w:rPr>
        <w:t xml:space="preserve"> below.</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described in the 2024 Annual Report, and as disclosed in this prospectus or the applicable prospectus supplement, no reportable material changes have occurred since December 31, 2024.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being represented by Loeb &amp; Loeb LLP with respect to certain legal matters as to United States federal securities and New York State law. The validity of the securities offered in this offering and certain other legal matters as to Cayman Islands law will be passed upon for us by Ogier (Cayman) LLP, our counsel as to Cayman Islands law. Legal matters as to PRC law will be passed upon for us by Dacheng. If legal matters in connection with offerings made pursuant to this prospectus are passed upon by counsel to underwriters, dealers, or agents, such counsel will be named in the applicable prospectus supplement relating to any such offering.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2023 and 2024, and for each of the two years in the period ended December 31, 2024, incorporated by reference into this prospectus from our 2024 annual report on Form 20-F for the year ended December 31, 2024, have been audited by Assentsure, an independent registered public accounting firm, as stated in their report. Such financial statements have been so included in reliance upon the report of such firm given upon their authority as experts in auditing and accounting. The office of Assentsure is located at 180B Bencoolen Street, #03-01, Singapore 189648.</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2022, and for the year ended December 31, 2022, incorporated by reference into this prospectus from our annual report on Form 20-F for the year ended December 31, 2024, have been audited by Marcum Asia CPAs LLP, an independent registered public accounting firm, as stated in their report (which report is dated May 1, 2023), given upon their authority as experts in auditing and accounting. This report contains an explanatory paragraph regarding the adjustments described in Note 17 to retrospectively apply the changes to 2022 numbers and disclosures as a result of the adoption of ASU 2023-07, Segment Reporting. They were not engaged to audit, review or apply any procedures to these adjustments. The office of Marcum Asia was located at 7 Pennsylvania Plaza Suite 830, New York, NY 10001.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or between information incorporated by reference into this prospectus from different documents, you should rely on the information contained in the document that was filed later.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incorporate by reference into this prospectus the following documents:</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4">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April 4,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auto"/>
          </w:rPr>
          <w:t xml:space="preserve">our reports of foreign private issuer on Form 6-K filed with the SEC on </w:t>
        </w:r>
        <w:r>
          <w:rPr>
            <w:rFonts w:ascii="Times New Roman" w:cs="Times New Roman" w:eastAsia="Times New Roman" w:hAnsi="Times New Roman"/>
            <w:sz w:val="18"/>
            <w:szCs w:val="18"/>
            <w:u w:val="single" w:color="auto"/>
            <w:color w:val="0000EE"/>
          </w:rPr>
          <w:t>April 8,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13,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18,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July 29,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21,</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5">
        <w:r>
          <w:rPr>
            <w:rFonts w:ascii="Times New Roman" w:cs="Times New Roman" w:eastAsia="Times New Roman" w:hAnsi="Times New Roman"/>
            <w:sz w:val="18"/>
            <w:szCs w:val="18"/>
            <w:u w:val="single" w:color="auto"/>
            <w:color w:val="0000EE"/>
          </w:rPr>
          <w:t xml:space="preserve">August 22, 2025 </w:t>
        </w:r>
      </w:hyperlink>
      <w:hyperlink r:id="rId35">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96">
        <w:r>
          <w:rPr>
            <w:rFonts w:ascii="Times New Roman" w:cs="Times New Roman" w:eastAsia="Times New Roman" w:hAnsi="Times New Roman"/>
            <w:sz w:val="18"/>
            <w:szCs w:val="18"/>
            <w:u w:val="single" w:color="auto"/>
            <w:color w:val="0000EE"/>
          </w:rPr>
          <w:t>September 5, 2025</w:t>
        </w:r>
      </w:hyperlink>
      <w:hyperlink r:id="rId35">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our registration statement on </w:t>
      </w:r>
      <w:hyperlink r:id="rId3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March 24, 2023, the description of securities contained in the </w:t>
      </w:r>
      <w:hyperlink r:id="rId38">
        <w:r>
          <w:rPr>
            <w:rFonts w:ascii="Times New Roman" w:cs="Times New Roman" w:eastAsia="Times New Roman" w:hAnsi="Times New Roman"/>
            <w:sz w:val="18"/>
            <w:szCs w:val="18"/>
            <w:u w:val="single" w:color="auto"/>
            <w:color w:val="0000EE"/>
          </w:rPr>
          <w:t>exhibit 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2024 </w:t>
      </w:r>
      <w:hyperlink r:id="rId34">
        <w:r>
          <w:rPr>
            <w:rFonts w:ascii="Times New Roman" w:cs="Times New Roman" w:eastAsia="Times New Roman" w:hAnsi="Times New Roman"/>
            <w:sz w:val="18"/>
            <w:szCs w:val="18"/>
            <w:u w:val="single" w:color="auto"/>
            <w:color w:val="0000EE"/>
          </w:rPr>
          <w:t>Annual Report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4,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annual reports on Form 20-F filed with the SEC after the date of this prospectus and prior to the termination of the offering of the securities offered by this prospectus;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reports of foreign private issuer on Form 6-K that we furnish to the SEC after the date of this prospectus that are identified in such reports as being incorporated by reference into the registration statement of which this prospectus forms a part.</w:t>
      </w:r>
    </w:p>
    <w:p>
      <w:pPr>
        <w:spacing w:after="0" w:line="162" w:lineRule="exact"/>
        <w:rPr>
          <w:rFonts w:ascii="Times New Roman" w:cs="Times New Roman" w:eastAsia="Times New Roman" w:hAnsi="Times New Roman"/>
          <w:sz w:val="18"/>
          <w:szCs w:val="18"/>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4">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April 4, 2025 contains a description of our business and audited consolidated financial statements with a report by our independent auditors. These financial statements were prepared in accordance with U.S. GAAP.</w:t>
      </w:r>
    </w:p>
    <w:p>
      <w:pPr>
        <w:spacing w:after="0" w:line="176"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Chanson International Holding</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B9 Xinjiang Chuangbo Zhigu Industrial Park</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No. 100 Guangyuan Road, Shuimogou District</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Urumqi, Xinjiang, China 830017</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+86-0991-2302709</w:t>
      </w:r>
    </w:p>
    <w:p>
      <w:pPr>
        <w:spacing w:after="0" w:line="207"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We have not authorized anyone to provide you with different information. We are not making any offer to sell these securities in any jurisdiction where the offer or sale is not permitted. You should not assume that the information contained or incorporated in this prospectus by reference is accurate as of any date other than the date of the document containing the information.</w:t>
      </w:r>
    </w:p>
    <w:p>
      <w:pPr>
        <w:spacing w:after="0" w:line="3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permitted by SEC rules, this prospectus omits certain information and exhibits that are included in the registration statement of which this prospectus forms a part. Since this prospectus may not contain all of the information that you may find important, you should review the full text of these documents. If we have filed a contract, agreement, or other document as an exhibit to the registration statement of which this prospectus forms a part, you should read the exhibit for a more complete understanding of the document or matter involved. Each statement in this prospectus, including statements incorporated by reference as discussed above, regarding a contract, agreement, or other document is qualified in its entirety by reference to the actual document.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Accordingly, we are required to file reports, including annual reports on Form 20-F, and other information with the SEC. All information electronically filed with the SEC can be inspected over the Internet at the SEC’s website at www.sec.gov.</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or current reports and financial statements with the SEC as frequently or as promptly as U.S. companies whose securities are registered under the Exchange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under the laws of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The Cayman Islands, however, has a different body of securities laws as compared to the U.S. and provides less protection for investors than the U.S. Additionally, Cayman Islands companies may not have standing to sue in the federal courts of the U.S.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our operations are conducted in the PRC and most of our assets are located in the PRC. In addition, substantially all of our directors and officers are nationals or residents of the PRC and a substantial portion of their assets are located outside the U.S. As a result, it may be difficult for investors to effect service of process within the U.S. upon us or these persons, or to enforce against us or them judgments obtained in U.S. courts, including judgments predicated upon the civil liability provisions of the U.S. federal securities laws or securities laws of any U.S. state.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appointed George Chanson (NY) Corp. as our agent to receive service of process with respect to any action brought against us in the United States District Court for the Southern District of New York under the U.S. federal securities laws or securities laws of any U.S. state or any action brought against us in the Supreme Court of the State of New York in the County of New York under the securities laws of the State of New York.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Dacheng, our counsel with respect to PRC law, have advised us that there is uncertainty as to whether the courts of the PRC would (i) recognize or enforce judgments of U.S. courts obtained against us or our directors or officers predicated upon the civil liability provisions of the U.S. federal securities laws or securities laws of any U.S. state or (ii) entertain original actions brought in the PRC against us or our directors or officers predicated upon the U.S. federal securities laws or securities laws of any U.S. state.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jc w:val="both"/>
        <w:spacing w:after="0" w:line="252" w:lineRule="auto"/>
        <w:rPr>
          <w:sz w:val="20"/>
          <w:szCs w:val="20"/>
          <w:color w:val="auto"/>
        </w:rPr>
      </w:pPr>
      <w:r>
        <w:rPr>
          <w:rFonts w:ascii="Times New Roman" w:cs="Times New Roman" w:eastAsia="Times New Roman" w:hAnsi="Times New Roman"/>
          <w:sz w:val="18"/>
          <w:szCs w:val="18"/>
          <w:color w:val="auto"/>
        </w:rPr>
        <w:t>Ogier (Cayman) LLP has further advised us that the courts of the Cayman Islands are unlikely (i) to recognize or enforce against us, judgments of courts of the United States obtained against us or our directors or officers predicated upon the civil liability provisions of the securities laws of the United States or any state in the United States; and (ii) in original actions brought in the Cayman Islands, to impose liabilities against us or our directors or officers predicated upon the civil liability provisions of the securities laws of the United States or any state in the United States, so far as the liabilities imposed by those provisions are penal in nature. In those circumstances, although there is currently no statutory enforcement or treaty between the United States and the Cayman Islands providing for enforcement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given by a court of competent jurisdiction (the courts of the Cayman Islands will apply the rules of Cayman Islands private international law to determine whether the foreign court is a court of competent jurisdiction),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Furthermore, it is uncertain that Cayman Islands courts would enforce: (1) judgments of U.S. courts obtained in actions against us or other persons that are predicated upon the civil liability provisions of the U.S. federal securities laws; or (2) original actions brought against us or other persons predicated upon the Securities Act. Ogier has informed us that there is uncertainty with regard to Cayman Islands law relating to whether a judgment obtained from the U.S. courts under civil liability provisions of the securities laws will be determined by the courts of the Cayman Islands as penal, punitive in nature. A Cayman Islands Court may stay enforcement proceedings if concurrent proceedings are being brought elsewhere.</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Dacheng has further advised us that the recognition and enforcement of foreign judgments are provided for under the PRC Civil Procedure Law. PRC courts may recognize and enforce foreign judgments in accordance with the requirements of the PRC Civil Procedure Law based either on treaties between China and the country where the judgment is made or on reciprocity between jurisdictions. There are no treaties or other forms of reciprocity between the PRC and the U.S. for the mutual recognition and enforcement of court judgments. Dacheng has further advised us that under PRC law, PRC courts will not enforce a foreign judgment against us or our officers and directors if the court decides that such judgment violates the basic principles of PRC law or national sovereignty, security or public interest, thus making the recognition and enforcement of a U.S. court judgment in the PRC difficult.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7"/>
          <w:szCs w:val="17"/>
          <w:b w:val="1"/>
          <w:bCs w:val="1"/>
          <w:color w:val="auto"/>
        </w:rPr>
        <w:t>Up to $219,375,000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164465</wp:posOffset>
            </wp:positionV>
            <wp:extent cx="1251585" cy="12515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1251585" cy="125158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Chanson International Holding</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585470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68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50"/>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lowerRoman"/>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lowerRoman"/>
      <w:start w:val="2"/>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lowerRoman"/>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jpe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jpeg"/><Relationship Id="rId101" Type="http://schemas.openxmlformats.org/officeDocument/2006/relationships/image" Target="media/image87.png"/><Relationship Id="rId34" Type="http://schemas.openxmlformats.org/officeDocument/2006/relationships/hyperlink" Target="http://www.sec.gov/Archives/edgar/data/1825349/000121390025028989/ea0236996-20f_chansoninter.htm" TargetMode="External"/><Relationship Id="rId35" Type="http://schemas.openxmlformats.org/officeDocument/2006/relationships/hyperlink" Target="http://www.sec.gov/Archives/edgar/data/1825349/000121390025079353/ea0254196-6k_chanson.htm" TargetMode="External"/><Relationship Id="rId36" Type="http://schemas.openxmlformats.org/officeDocument/2006/relationships/hyperlink" Target="http://www.sec.gov/Archives/edgar/data/1825349/000121390025125357/ea0270766-6k_chanson.htm" TargetMode="External"/><Relationship Id="rId37" Type="http://schemas.openxmlformats.org/officeDocument/2006/relationships/hyperlink" Target="http://www.sec.gov/Archives/edgar/data/1825349/000121390023022609/f8a12b0323_chanson.htm" TargetMode="External"/><Relationship Id="rId38" Type="http://schemas.openxmlformats.org/officeDocument/2006/relationships/hyperlink" Target="http://www.sec.gov/Archives/edgar/data/1825349/000121390025028989/ea023699601ex2-2_chansonin.htm" TargetMode="External"/><Relationship Id="rId95" Type="http://schemas.openxmlformats.org/officeDocument/2006/relationships/hyperlink" Target="http://www.sec.gov/Archives/edgar/data/1825349/000121390025079889/ea0254319-6k_chanson.htm" TargetMode="External"/><Relationship Id="rId96" Type="http://schemas.openxmlformats.org/officeDocument/2006/relationships/hyperlink" Target="http://www.sec.gov/Archives/edgar/data/1825349/000121390025084708/ea0255978-6k_chans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2026-01-07T08:35:46Z</dcterms:created>
  <dcterms:modified xsi:type="dcterms:W3CDTF">2026-01-07T08:35:46Z</dcterms:modified>
</cp:coreProperties>
</file>