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January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001-41663</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Chanson International Holding</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B9 Xinjiang Chuangbo Zhigu Industrial Park</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 100 Guangyuan Road, Shuimogou District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Urumqi, Xinjiang, China</w:t>
      </w:r>
    </w:p>
    <w:p>
      <w:pPr>
        <w:spacing w:after="0" w:line="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2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Sales Agreement for At The Market Offering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6, 2026, Chanson International Holding, an exempted company incorporated under the laws of the Cayman Islands (the “Company”) entered into a sales agreement (the “Sales Agreement”) with AC Sunshine Securities LLC (the “Sales Agent”), acting as the Company’s sales agent, pursuant to which the Company may offer and sell, from time to time, to or through the Sales Agent, Class A ordinary shares of the Company, par value $0.08 per share (the “Class A Ordinary Shares”) having an aggregate offering price of up to $219,375,000 (the “Offered Shares”).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Sales Agreement, the Offered Shares will be offered and sold pursuant to a base prospectus, dated September 16, 2025 and a prospectus supplement, dated January 7, 2026, that form a part of the Company’s shelf registration statement on Form F-3, as amended (File No. 333-289600), which was declared effective by the U.S. Securities and Exchange Commission (the “SEC”) on September 30, 2025.</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not obligated to sell any Offered Shares under the Sales Agreement, and the Sales Agent is not under any obligation to purchase any Offered Shares on a principal basis pursuant to the Sales Agreement, except as otherwise agreed by the Sales Agent and the Company in writing pursuant to a separate agreement setting forth the terms of such sale. Subject to the terms and conditions of the Sales Agreement, the Sales Agent will use commercially reasonable efforts consistent with its normal trading and sales practices, applicable state and federal laws, rules and regulations and the rules of The Nasdaq Stock Market LLC to sell Offered Shares from time to time based upon the Company’s instructions, including any price, time or size limits specified by the Company. Upon delivery of a sales notice, and subject to the Company’s instructions in that notice, and the terms and conditions of the Sales Agreement generally, the Sales Agent may sell Offered Shares by any method permitted by law that is deemed to be an “at the market offering” as defined by Rule 415(a)(4) promulgated under the Securities Act of 1933, as amended (the “Securities Act”). The Company will pay the Sales Agent a commission of three percent (3.0%) of the aggregate gross proceeds from each sale of the Offered Shares and has agreed to provide the Sales Agent with customary indemnification and contribution rights. The Company has also agreed to reimburse the Sales Agent for certain specified expenses of up to $100,000 in the aggregate.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summary of the Sales Agreement does not purport to be complete and is qualified in its entirety by reference to the full text of the Sales Agreement, a copy of which is attached as Exhibit 10.1 to this Form 6-K and incorporated by reference herein. A copy of the opinion of Ogier, as Cayman Islands counsel to the Company, regarding the legality of the issuance and allotment of the Class A Ordinary Shares under the Sales Agreement is attached hereto as Exhibit 5.1 to this Form 6-K and is incorporated by reference herein.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Form 6-K shall not constitute an offer to sell or the solicitation of an offer to buy nor shall there be any sale of Offered Shares in any state or jurisdiction in which such offer, solicitation or sale would be unlawful prior to registration or qualification under the securities laws of any such state or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contents of this Report on Form 6-K are hereby incorporated by reference into (i) the Company’s registration statement on </w:t>
      </w:r>
      <w:hyperlink r:id="rId13">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333-288739) filed with the SEC on July 18, 2025 and (ii) the Company’s registration statement on </w:t>
      </w:r>
      <w:hyperlink r:id="rId14">
        <w:r>
          <w:rPr>
            <w:rFonts w:ascii="Times New Roman" w:cs="Times New Roman" w:eastAsia="Times New Roman" w:hAnsi="Times New Roman"/>
            <w:sz w:val="18"/>
            <w:szCs w:val="18"/>
            <w:u w:val="single" w:color="auto"/>
            <w:color w:val="0000EE"/>
          </w:rPr>
          <w:t>Form F-3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333-289600) that was initially filed with the SEC on August 14, 2025 and declared effective by the SEC on September 30,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4"/>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4"/>
          </w:tcPr>
          <w:p>
            <w:pPr>
              <w:ind w:left="420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69"/>
        </w:trPr>
        <w:tc>
          <w:tcPr>
            <w:tcW w:w="102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top w:val="single" w:sz="8" w:color="CCEEFF"/>
            </w:tcBorders>
            <w:shd w:val="clear" w:color="auto" w:fill="CCEEFF"/>
          </w:tcPr>
          <w:p>
            <w:pPr>
              <w:spacing w:after="0"/>
              <w:rPr>
                <w:sz w:val="14"/>
                <w:szCs w:val="14"/>
                <w:color w:val="auto"/>
              </w:rPr>
            </w:pPr>
          </w:p>
        </w:tc>
        <w:tc>
          <w:tcPr>
            <w:tcW w:w="10100" w:type="dxa"/>
            <w:vAlign w:val="bottom"/>
            <w:tcBorders>
              <w:top w:val="single" w:sz="8" w:color="auto"/>
            </w:tcBorders>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Opinion of Ogier, Cayman Islands counsel to the Company</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6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101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Sales Agreement, dated January 6, 2026, by and between the Company and the Sales Agent</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6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7"/>
                <w:szCs w:val="17"/>
                <w:color w:val="auto"/>
              </w:rPr>
            </w:pPr>
          </w:p>
        </w:tc>
        <w:tc>
          <w:tcPr>
            <w:tcW w:w="101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Ogier, Cayman Islands counsel to the Company (included in Exhibit 5.1)</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080" w:type="dxa"/>
            <w:vAlign w:val="bottom"/>
            <w:tcBorders>
              <w:top w:val="single" w:sz="8" w:color="0000EE"/>
              <w:bottom w:val="single" w:sz="8" w:color="auto"/>
            </w:tcBorders>
            <w:gridSpan w:val="2"/>
          </w:tcPr>
          <w:p>
            <w:pPr>
              <w:jc w:val="right"/>
              <w:ind w:right="156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tcBorders>
              <w:top w:val="single" w:sz="8" w:color="CCEEFF"/>
              <w:bottom w:val="single" w:sz="8" w:color="auto"/>
            </w:tcBorders>
          </w:tcPr>
          <w:p>
            <w:pPr>
              <w:spacing w:after="0"/>
              <w:rPr>
                <w:sz w:val="24"/>
                <w:szCs w:val="24"/>
                <w:color w:val="auto"/>
              </w:rPr>
            </w:pPr>
          </w:p>
        </w:tc>
        <w:tc>
          <w:tcPr>
            <w:tcW w:w="35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Chanson International Holding</w:t>
      </w:r>
    </w:p>
    <w:p>
      <w:pPr>
        <w:spacing w:after="0" w:line="227"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 January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Gang Li</w:t>
      </w:r>
    </w:p>
    <w:p>
      <w:pPr>
        <w:spacing w:after="0" w:line="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Gang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Director, and</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156845</wp:posOffset>
            </wp:positionV>
            <wp:extent cx="1019810" cy="419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1981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Chanson International Holding</w:t>
            </w:r>
          </w:p>
        </w:tc>
        <w:tc>
          <w:tcPr>
            <w:tcW w:w="3860" w:type="dxa"/>
            <w:vAlign w:val="bottom"/>
          </w:tcPr>
          <w:p>
            <w:pPr>
              <w:ind w:left="1580"/>
              <w:spacing w:after="0"/>
              <w:rPr>
                <w:sz w:val="20"/>
                <w:szCs w:val="20"/>
                <w:color w:val="auto"/>
              </w:rPr>
            </w:pPr>
            <w:r>
              <w:rPr>
                <w:rFonts w:ascii="Times New Roman" w:cs="Times New Roman" w:eastAsia="Times New Roman" w:hAnsi="Times New Roman"/>
                <w:sz w:val="18"/>
                <w:szCs w:val="18"/>
                <w:b w:val="1"/>
                <w:bCs w:val="1"/>
                <w:color w:val="auto"/>
              </w:rPr>
              <w:t>D +1 345 815 1866</w:t>
            </w:r>
          </w:p>
        </w:tc>
        <w:tc>
          <w:tcPr>
            <w:tcW w:w="0" w:type="dxa"/>
            <w:vAlign w:val="bottom"/>
          </w:tcPr>
          <w:p>
            <w:pPr>
              <w:spacing w:after="0"/>
              <w:rPr>
                <w:sz w:val="1"/>
                <w:szCs w:val="1"/>
                <w:color w:val="auto"/>
              </w:rPr>
            </w:pPr>
          </w:p>
        </w:tc>
      </w:tr>
      <w:tr>
        <w:trPr>
          <w:trHeight w:val="221"/>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 Harneys Fiduciary (Cayman) Limited</w:t>
            </w:r>
          </w:p>
        </w:tc>
        <w:tc>
          <w:tcPr>
            <w:tcW w:w="3860" w:type="dxa"/>
            <w:vAlign w:val="bottom"/>
          </w:tcPr>
          <w:p>
            <w:pPr>
              <w:ind w:left="1580"/>
              <w:spacing w:after="0"/>
              <w:rPr>
                <w:sz w:val="20"/>
                <w:szCs w:val="20"/>
                <w:color w:val="auto"/>
              </w:rPr>
            </w:pPr>
            <w:r>
              <w:rPr>
                <w:rFonts w:ascii="Times New Roman" w:cs="Times New Roman" w:eastAsia="Times New Roman" w:hAnsi="Times New Roman"/>
                <w:sz w:val="18"/>
                <w:szCs w:val="18"/>
                <w:b w:val="1"/>
                <w:bCs w:val="1"/>
                <w:color w:val="auto"/>
              </w:rPr>
              <w:t>E bradley.kruger@ogier.com</w:t>
            </w:r>
          </w:p>
        </w:tc>
        <w:tc>
          <w:tcPr>
            <w:tcW w:w="0" w:type="dxa"/>
            <w:vAlign w:val="bottom"/>
          </w:tcPr>
          <w:p>
            <w:pPr>
              <w:spacing w:after="0"/>
              <w:rPr>
                <w:sz w:val="1"/>
                <w:szCs w:val="1"/>
                <w:color w:val="auto"/>
              </w:rPr>
            </w:pPr>
          </w:p>
        </w:tc>
      </w:tr>
      <w:tr>
        <w:trPr>
          <w:trHeight w:val="252"/>
        </w:trPr>
        <w:tc>
          <w:tcPr>
            <w:tcW w:w="4940" w:type="dxa"/>
            <w:vAlign w:val="bottom"/>
          </w:tcPr>
          <w:p>
            <w:pPr>
              <w:spacing w:after="0" w:line="252" w:lineRule="exact"/>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Harbour Place,</w:t>
            </w:r>
          </w:p>
        </w:tc>
        <w:tc>
          <w:tcPr>
            <w:tcW w:w="3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103 South Church Street, PO Box 10240</w:t>
            </w:r>
          </w:p>
        </w:tc>
        <w:tc>
          <w:tcPr>
            <w:tcW w:w="3860" w:type="dxa"/>
            <w:vAlign w:val="bottom"/>
            <w:vMerge w:val="restart"/>
          </w:tcPr>
          <w:p>
            <w:pPr>
              <w:ind w:left="1580"/>
              <w:spacing w:after="0"/>
              <w:rPr>
                <w:sz w:val="20"/>
                <w:szCs w:val="20"/>
                <w:color w:val="auto"/>
              </w:rPr>
            </w:pPr>
            <w:r>
              <w:rPr>
                <w:rFonts w:ascii="Times New Roman" w:cs="Times New Roman" w:eastAsia="Times New Roman" w:hAnsi="Times New Roman"/>
                <w:sz w:val="18"/>
                <w:szCs w:val="18"/>
                <w:color w:val="auto"/>
              </w:rPr>
              <w:t>Reference: 427101.00001</w:t>
            </w:r>
          </w:p>
        </w:tc>
        <w:tc>
          <w:tcPr>
            <w:tcW w:w="0" w:type="dxa"/>
            <w:vAlign w:val="bottom"/>
          </w:tcPr>
          <w:p>
            <w:pPr>
              <w:spacing w:after="0"/>
              <w:rPr>
                <w:sz w:val="1"/>
                <w:szCs w:val="1"/>
                <w:color w:val="auto"/>
              </w:rPr>
            </w:pPr>
          </w:p>
        </w:tc>
      </w:tr>
      <w:tr>
        <w:trPr>
          <w:trHeight w:val="126"/>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Grand Cayman KY1-1103</w:t>
            </w:r>
          </w:p>
        </w:tc>
        <w:tc>
          <w:tcPr>
            <w:tcW w:w="3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940" w:type="dxa"/>
            <w:vAlign w:val="bottom"/>
            <w:vMerge w:val="continue"/>
          </w:tcPr>
          <w:p>
            <w:pPr>
              <w:spacing w:after="0"/>
              <w:rPr>
                <w:sz w:val="7"/>
                <w:szCs w:val="7"/>
                <w:color w:val="auto"/>
              </w:rPr>
            </w:pPr>
          </w:p>
        </w:tc>
        <w:tc>
          <w:tcPr>
            <w:tcW w:w="3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3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40" w:type="dxa"/>
            <w:vAlign w:val="bottom"/>
          </w:tcPr>
          <w:p>
            <w:pPr>
              <w:spacing w:after="0"/>
              <w:rPr>
                <w:sz w:val="24"/>
                <w:szCs w:val="24"/>
                <w:color w:val="auto"/>
              </w:rPr>
            </w:pPr>
          </w:p>
        </w:tc>
        <w:tc>
          <w:tcPr>
            <w:tcW w:w="38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7 January 2026</w:t>
            </w:r>
          </w:p>
        </w:tc>
        <w:tc>
          <w:tcPr>
            <w:tcW w:w="0" w:type="dxa"/>
            <w:vAlign w:val="bottom"/>
          </w:tcPr>
          <w:p>
            <w:pPr>
              <w:spacing w:after="0"/>
              <w:rPr>
                <w:sz w:val="1"/>
                <w:szCs w:val="1"/>
                <w:color w:val="auto"/>
              </w:rPr>
            </w:pPr>
          </w:p>
        </w:tc>
      </w:tr>
      <w:tr>
        <w:trPr>
          <w:trHeight w:val="432"/>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Chanson International Holding (Company)</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We have been requested to provide you with an opinion on matters of Cayman Islands law in connection with a prospectus supplement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to the base prospectus (the</w:t>
      </w:r>
      <w:r>
        <w:rPr>
          <w:rFonts w:ascii="Times New Roman" w:cs="Times New Roman" w:eastAsia="Times New Roman" w:hAnsi="Times New Roman"/>
          <w:sz w:val="18"/>
          <w:szCs w:val="18"/>
          <w:b w:val="1"/>
          <w:bCs w:val="1"/>
          <w:color w:val="auto"/>
        </w:rPr>
        <w:t xml:space="preserve"> Prospectus</w:t>
      </w:r>
      <w:r>
        <w:rPr>
          <w:rFonts w:ascii="Times New Roman" w:cs="Times New Roman" w:eastAsia="Times New Roman" w:hAnsi="Times New Roman"/>
          <w:sz w:val="18"/>
          <w:szCs w:val="18"/>
          <w:color w:val="auto"/>
        </w:rPr>
        <w:t>) filed in connection with the Company's registration statement on Form F-3, including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amendments or supplements thereto filed with the United States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xml:space="preserve">) under the United States Securities Act of 1933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xml:space="preserve">), as amended, (including its exhibits, the Prospectus and the Prospectus Supplement,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xml:space="preserve">) related to offering and sale of up to US$219,375,000 worth of Class A ordinary shares of par value US$0.08 each in the capital of the Company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pursuant to the terms of the Documents (as defined in Schedule 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opinion is given in accordance with the terms of the Legal Matters section of the Prospectus Supplement.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a contrary intention appears, all capitalised terms used in this opinion have the respective meanings set forth in Schedule 1. A reference to a Schedule is a reference to a schedule to this opinion and the headings herein are for convenience only and do not affect the construction of this opinion.</w:t>
      </w:r>
    </w:p>
    <w:p>
      <w:pPr>
        <w:spacing w:after="0" w:line="158"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examined</w:t>
      </w:r>
    </w:p>
    <w:p>
      <w:pPr>
        <w:spacing w:after="0" w:line="225" w:lineRule="exact"/>
        <w:rPr>
          <w:rFonts w:ascii="Times New Roman" w:cs="Times New Roman" w:eastAsia="Times New Roman" w:hAnsi="Times New Roman"/>
          <w:sz w:val="18"/>
          <w:szCs w:val="18"/>
          <w:b w:val="1"/>
          <w:bCs w:val="1"/>
          <w:color w:val="auto"/>
        </w:rPr>
      </w:pPr>
    </w:p>
    <w:p>
      <w:pPr>
        <w:jc w:val="both"/>
        <w:ind w:left="66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For the purposes of giving this opinion, we have examined copies of the documents listed in Part B of Schedule 1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In addition, we have examined the corporate and other documents and conducted the searches listed in Part A of Schedule 1. We have not made any searches or enquiries concerning, and have not examined any documents entered into by or affecting the Company or any other person, save for the searches, enquiries and examinations expressly referred to in Schedule 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Ogier (Cayman) LLP</w:t>
      </w:r>
    </w:p>
    <w:p>
      <w:pPr>
        <w:spacing w:after="0" w:line="229" w:lineRule="auto"/>
        <w:rPr>
          <w:sz w:val="20"/>
          <w:szCs w:val="20"/>
          <w:color w:val="auto"/>
        </w:rPr>
      </w:pPr>
      <w:r>
        <w:rPr>
          <w:rFonts w:ascii="Times New Roman" w:cs="Times New Roman" w:eastAsia="Times New Roman" w:hAnsi="Times New Roman"/>
          <w:sz w:val="14"/>
          <w:szCs w:val="14"/>
          <w:color w:val="auto"/>
        </w:rPr>
        <w:t>89 Nexus Way</w:t>
      </w:r>
    </w:p>
    <w:p>
      <w:pPr>
        <w:spacing w:after="0" w:line="221" w:lineRule="auto"/>
        <w:rPr>
          <w:sz w:val="20"/>
          <w:szCs w:val="20"/>
          <w:color w:val="auto"/>
        </w:rPr>
      </w:pPr>
      <w:r>
        <w:rPr>
          <w:rFonts w:ascii="Times New Roman" w:cs="Times New Roman" w:eastAsia="Times New Roman" w:hAnsi="Times New Roman"/>
          <w:sz w:val="14"/>
          <w:szCs w:val="14"/>
          <w:color w:val="auto"/>
        </w:rPr>
        <w:t>Camana Bay</w:t>
      </w:r>
    </w:p>
    <w:p>
      <w:pPr>
        <w:spacing w:after="0" w:line="222" w:lineRule="auto"/>
        <w:rPr>
          <w:sz w:val="20"/>
          <w:szCs w:val="20"/>
          <w:color w:val="auto"/>
        </w:rPr>
      </w:pPr>
      <w:r>
        <w:rPr>
          <w:rFonts w:ascii="Times New Roman" w:cs="Times New Roman" w:eastAsia="Times New Roman" w:hAnsi="Times New Roman"/>
          <w:sz w:val="14"/>
          <w:szCs w:val="14"/>
          <w:color w:val="auto"/>
        </w:rPr>
        <w:t>Grand Cayman, KY1-9009</w:t>
      </w:r>
    </w:p>
    <w:p>
      <w:pPr>
        <w:spacing w:after="0"/>
        <w:rPr>
          <w:sz w:val="20"/>
          <w:szCs w:val="20"/>
          <w:color w:val="auto"/>
        </w:rPr>
      </w:pPr>
      <w:r>
        <w:rPr>
          <w:rFonts w:ascii="Times New Roman" w:cs="Times New Roman" w:eastAsia="Times New Roman" w:hAnsi="Times New Roman"/>
          <w:sz w:val="14"/>
          <w:szCs w:val="14"/>
          <w:color w:val="auto"/>
        </w:rPr>
        <w:t>Cayman Islands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T +1 345 949 9876</w:t>
            </w:r>
          </w:p>
        </w:tc>
        <w:tc>
          <w:tcPr>
            <w:tcW w:w="6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5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F +1 305 513 5888</w:t>
            </w:r>
          </w:p>
        </w:tc>
        <w:tc>
          <w:tcPr>
            <w:tcW w:w="6280" w:type="dxa"/>
            <w:vAlign w:val="bottom"/>
            <w:vMerge w:val="restart"/>
          </w:tcPr>
          <w:p>
            <w:pPr>
              <w:ind w:left="3380"/>
              <w:spacing w:after="0"/>
              <w:rPr>
                <w:sz w:val="20"/>
                <w:szCs w:val="20"/>
                <w:color w:val="auto"/>
              </w:rPr>
            </w:pPr>
            <w:r>
              <w:rPr>
                <w:rFonts w:ascii="Times New Roman" w:cs="Times New Roman" w:eastAsia="Times New Roman" w:hAnsi="Times New Roman"/>
                <w:sz w:val="14"/>
                <w:szCs w:val="14"/>
                <w:color w:val="auto"/>
              </w:rPr>
              <w:t>A list of Partners may be inspected on our website</w:t>
            </w:r>
          </w:p>
        </w:tc>
        <w:tc>
          <w:tcPr>
            <w:tcW w:w="0" w:type="dxa"/>
            <w:vAlign w:val="bottom"/>
          </w:tcPr>
          <w:p>
            <w:pPr>
              <w:spacing w:after="0"/>
              <w:rPr>
                <w:sz w:val="1"/>
                <w:szCs w:val="1"/>
                <w:color w:val="auto"/>
              </w:rPr>
            </w:pPr>
          </w:p>
        </w:tc>
      </w:tr>
      <w:tr>
        <w:trPr>
          <w:trHeight w:val="190"/>
        </w:trPr>
        <w:tc>
          <w:tcPr>
            <w:tcW w:w="4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ogier.com</w:t>
            </w:r>
          </w:p>
        </w:tc>
        <w:tc>
          <w:tcPr>
            <w:tcW w:w="6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Chanson International Holding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January 2026</w:t>
      </w:r>
    </w:p>
    <w:p>
      <w:pPr>
        <w:spacing w:after="0" w:line="203"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giving this opinion we have relied upon the assumptions set forth in Schedule 2 without having carried out any independent investigation or verification in respect of those assumptions.</w:t>
      </w:r>
    </w:p>
    <w:p>
      <w:pPr>
        <w:spacing w:after="0" w:line="158"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the basis of the examinations and assumptions referred to above and subject to the qualifications set forth in Schedule 3 and the limitations set forth below, we are of the opinion that:</w:t>
      </w:r>
    </w:p>
    <w:p>
      <w:pPr>
        <w:spacing w:after="0" w:line="15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status</w:t>
      </w:r>
    </w:p>
    <w:p>
      <w:pPr>
        <w:spacing w:after="0" w:line="229" w:lineRule="exact"/>
        <w:rPr>
          <w:rFonts w:ascii="Times New Roman" w:cs="Times New Roman" w:eastAsia="Times New Roman" w:hAnsi="Times New Roman"/>
          <w:sz w:val="18"/>
          <w:szCs w:val="18"/>
          <w:b w:val="1"/>
          <w:bCs w:val="1"/>
          <w:color w:val="auto"/>
        </w:rPr>
      </w:pPr>
    </w:p>
    <w:p>
      <w:pPr>
        <w:ind w:left="1300" w:right="20" w:hanging="644"/>
        <w:spacing w:after="0" w:line="282"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been duly incorporated as an exempted company with limited liability and is validly existing and in good standing with the Registrar of Companies of the Cayman Islands (the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Issuance of Shares</w:t>
      </w:r>
    </w:p>
    <w:p>
      <w:pPr>
        <w:spacing w:after="0" w:line="229"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offered and issued by the Company as contemplated by the Prospectus Supplement, when issued by the Company: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in full of the consideration as set out in Prospectus Supplement and the Documents;</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Prospectus Supplement, the Documents, the Resolutions and the Memorandum and Articles of Association;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entry of those Shares as fully paid on the register of members of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shall be validly issued, fully paid and non-assessable.</w:t>
      </w:r>
    </w:p>
    <w:p>
      <w:pPr>
        <w:spacing w:after="0" w:line="221" w:lineRule="exact"/>
        <w:rPr>
          <w:sz w:val="20"/>
          <w:szCs w:val="20"/>
          <w:color w:val="auto"/>
        </w:rPr>
      </w:pPr>
    </w:p>
    <w:p>
      <w:pPr>
        <w:jc w:val="both"/>
        <w:ind w:left="660" w:right="9040" w:hanging="652"/>
        <w:spacing w:after="0" w:line="503" w:lineRule="auto"/>
        <w:tabs>
          <w:tab w:leader="none" w:pos="65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Matters not covered </w:t>
      </w:r>
      <w:r>
        <w:rPr>
          <w:rFonts w:ascii="Times New Roman" w:cs="Times New Roman" w:eastAsia="Times New Roman" w:hAnsi="Times New Roman"/>
          <w:sz w:val="18"/>
          <w:szCs w:val="18"/>
          <w:color w:val="auto"/>
        </w:rPr>
        <w:t>We offer no opinion:</w:t>
      </w:r>
    </w:p>
    <w:p>
      <w:pPr>
        <w:jc w:val="both"/>
        <w:ind w:left="1300" w:hanging="644"/>
        <w:spacing w:after="0" w:line="266"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laws other than the laws of the Cayman Islands, and we have not, for the purposes of this opinion, made any investigation of the laws of any other jurisdiction, and we express no opinion as to the meaning, validity, or effect of references in any document to statutes, rules, regulations, codes or judicial authority of any jurisdiction other than the Cayman Islands;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Chanson International Holding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January 2026</w:t>
      </w:r>
    </w:p>
    <w:p>
      <w:pPr>
        <w:spacing w:after="0" w:line="207" w:lineRule="exact"/>
        <w:rPr>
          <w:sz w:val="20"/>
          <w:szCs w:val="20"/>
          <w:color w:val="auto"/>
        </w:rPr>
      </w:pPr>
    </w:p>
    <w:p>
      <w:pPr>
        <w:jc w:val="both"/>
        <w:ind w:left="1300" w:hanging="644"/>
        <w:spacing w:after="0" w:line="258"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that this opinion expressly provides otherwise, as to the commercial terms of, or the validity, enforceability or effect of the documents reviewed (or as to how the commercial terms of such documents reflect the intentions of the parties), the accuracy of representations, the fulfilment of warranties or conditions, the occurrence of events of default or terminating events or the existence of any conflicts or inconsistencies among the documents and any other agreements into which the Company may have entered or any other documents; or</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whether the acceptance, execution or performance of the Company’s obligations under the documents reviewed by us will result in the breach of or infringe any other agreement, deed or document (other than, to the extent expressly provided herein, the Memorandum and Articles of Association) entered into by or binding on the Company.</w:t>
      </w:r>
    </w:p>
    <w:p>
      <w:pPr>
        <w:spacing w:after="0" w:line="172"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of this opinion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This opinion is:</w:t>
      </w:r>
    </w:p>
    <w:p>
      <w:pPr>
        <w:spacing w:after="0" w:line="225"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governed by, and shall be construed in accordance with, the laws of the Cayman Islands;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to the matters expressly stated in it;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confined to, and given on the basis of, the laws and practice in the Cayman Islands at the date of this opinion.</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Unless otherwise indicated, a reference to any specific Cayman Islands legislation is a reference to that legislation as amended to, and as in force at, the date of this opinion.</w:t>
      </w:r>
    </w:p>
    <w:p>
      <w:pPr>
        <w:spacing w:after="0" w:line="158"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Consent</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hereby consent to the filing of this opinion as an exhibit to the Registration Statement and also consent to the reference to this firm in the Registration Statement under the heading “Legal Matters”. In the giving of our consent, we do not thereby admit that we are in the category of persons whose consent is required under Section 7 of the Act or the Rules and Regulations of the Commission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Ogier (Cayman)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Ogier (Cayman) LLP</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Chanson International Holding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January 2026</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Part A – corporate and other documents</w:t>
      </w:r>
    </w:p>
    <w:p>
      <w:pPr>
        <w:spacing w:after="0" w:line="225" w:lineRule="exact"/>
        <w:rPr>
          <w:sz w:val="20"/>
          <w:szCs w:val="20"/>
          <w:color w:val="auto"/>
        </w:rPr>
      </w:pPr>
    </w:p>
    <w:p>
      <w:pPr>
        <w:ind w:left="660" w:hanging="652"/>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Certificate of Incorporation of the Company dated 26 July 2019 and the Certificate of Incorporation on Change of Name dated 18 December 2020 issued by the Registrar (together, the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amended and restated memorandum of association of the Company adopted by way of special resolution passed by shareholders of the Company on 12 November 2025 (the </w:t>
      </w:r>
      <w:r>
        <w:rPr>
          <w:rFonts w:ascii="Times New Roman" w:cs="Times New Roman" w:eastAsia="Times New Roman" w:hAnsi="Times New Roman"/>
          <w:sz w:val="18"/>
          <w:szCs w:val="18"/>
          <w:b w:val="1"/>
          <w:bCs w:val="1"/>
          <w:color w:val="auto"/>
        </w:rPr>
        <w:t>Memorandum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amended and restated articles of association of the Company adopted by way of special resolution passed by shareholders of the Company on 26 December 2024 (the </w:t>
      </w:r>
      <w:r>
        <w:rPr>
          <w:rFonts w:ascii="Times New Roman" w:cs="Times New Roman" w:eastAsia="Times New Roman" w:hAnsi="Times New Roman"/>
          <w:sz w:val="18"/>
          <w:szCs w:val="18"/>
          <w:b w:val="1"/>
          <w:bCs w:val="1"/>
          <w:color w:val="auto"/>
        </w:rPr>
        <w:t>Articles of Association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of Good Standing dated 31 December 2025 (the </w:t>
      </w:r>
      <w:r>
        <w:rPr>
          <w:rFonts w:ascii="Times New Roman" w:cs="Times New Roman" w:eastAsia="Times New Roman" w:hAnsi="Times New Roman"/>
          <w:sz w:val="18"/>
          <w:szCs w:val="18"/>
          <w:b w:val="1"/>
          <w:bCs w:val="1"/>
          <w:color w:val="auto"/>
        </w:rPr>
        <w:t>Good Standing Certificate</w:t>
      </w:r>
      <w:r>
        <w:rPr>
          <w:rFonts w:ascii="Times New Roman" w:cs="Times New Roman" w:eastAsia="Times New Roman" w:hAnsi="Times New Roman"/>
          <w:sz w:val="18"/>
          <w:szCs w:val="18"/>
          <w:color w:val="auto"/>
        </w:rPr>
        <w:t>) issued by the Registrar in respect of the Company.</w:t>
      </w:r>
    </w:p>
    <w:p>
      <w:pPr>
        <w:spacing w:after="0" w:line="225" w:lineRule="exact"/>
        <w:rPr>
          <w:sz w:val="20"/>
          <w:szCs w:val="20"/>
          <w:color w:val="auto"/>
        </w:rPr>
      </w:pPr>
    </w:p>
    <w:p>
      <w:pPr>
        <w:ind w:left="660" w:right="20" w:hanging="652"/>
        <w:spacing w:after="0" w:line="28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dated on the date hereof as to certain matters of fact signed by a director of the Company in the form annexed hereto (the </w:t>
      </w: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having attached to it a copy of the written resolutions of the directors of the Company passed on 6 January 2026 (the</w:t>
      </w:r>
      <w:r>
        <w:rPr>
          <w:rFonts w:ascii="Times New Roman" w:cs="Times New Roman" w:eastAsia="Times New Roman" w:hAnsi="Times New Roman"/>
          <w:sz w:val="18"/>
          <w:szCs w:val="18"/>
          <w:b w:val="1"/>
          <w:bCs w:val="1"/>
          <w:color w:val="auto"/>
        </w:rPr>
        <w:t xml:space="preserve"> Resolutions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hanging="652"/>
        <w:spacing w:after="0" w:line="28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Register of Writs maintained by the office of the Clerk of Courts in the Cayman Islands as inspected by us on 7 January 2026 (the </w:t>
      </w:r>
      <w:r>
        <w:rPr>
          <w:rFonts w:ascii="Times New Roman" w:cs="Times New Roman" w:eastAsia="Times New Roman" w:hAnsi="Times New Roman"/>
          <w:sz w:val="18"/>
          <w:szCs w:val="18"/>
          <w:b w:val="1"/>
          <w:bCs w:val="1"/>
          <w:color w:val="auto"/>
        </w:rPr>
        <w:t>Register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Writs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Supplement.</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B – the Documents</w:t>
      </w:r>
    </w:p>
    <w:p>
      <w:pPr>
        <w:spacing w:after="0" w:line="229" w:lineRule="exact"/>
        <w:rPr>
          <w:sz w:val="20"/>
          <w:szCs w:val="20"/>
          <w:color w:val="auto"/>
        </w:rPr>
      </w:pPr>
    </w:p>
    <w:p>
      <w:pPr>
        <w:ind w:left="5580" w:right="4200" w:hanging="5572"/>
        <w:spacing w:after="0" w:line="783" w:lineRule="auto"/>
        <w:tabs>
          <w:tab w:leader="none" w:pos="65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draft of the Sales Agreement between the Company and AC Sunshine Securities LLC.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Chanson International Holding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January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Assumptions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Assumptions of general application</w:t>
      </w:r>
    </w:p>
    <w:p>
      <w:pPr>
        <w:spacing w:after="0" w:line="229"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original documents examined by us are authentic and complete.</w:t>
      </w:r>
    </w:p>
    <w:p>
      <w:pPr>
        <w:spacing w:after="0" w:line="225" w:lineRule="exact"/>
        <w:rPr>
          <w:sz w:val="20"/>
          <w:szCs w:val="20"/>
          <w:color w:val="auto"/>
        </w:rPr>
      </w:pPr>
    </w:p>
    <w:p>
      <w:pPr>
        <w:ind w:left="660" w:right="2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copy documents examined by us (whether in facsimile, electronic or other form) conform to the originals and those originals are authentic and complete.</w:t>
      </w:r>
    </w:p>
    <w:p>
      <w:pPr>
        <w:spacing w:after="0" w:line="162"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signatures, seals, dates, stamps and markings (whether on original or copy documents) are genuine.</w:t>
      </w:r>
    </w:p>
    <w:p>
      <w:pPr>
        <w:spacing w:after="0" w:line="225"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Good Standing Certificate and the Director’s Certificate is accurate and complete as at the date of this opinion.</w:t>
      </w:r>
    </w:p>
    <w:p>
      <w:pPr>
        <w:spacing w:after="0" w:line="225" w:lineRule="exact"/>
        <w:rPr>
          <w:sz w:val="20"/>
          <w:szCs w:val="20"/>
          <w:color w:val="auto"/>
        </w:rPr>
      </w:pPr>
    </w:p>
    <w:p>
      <w:pPr>
        <w:jc w:val="both"/>
        <w:ind w:left="66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any Document has been provided to us in draft or undated form, that Document has been executed by all parties in materially the form provided to us and, where we have been provided with successive drafts of a Document marked to show changes from a previous draft, all such changes have been accurately marked.</w:t>
      </w:r>
    </w:p>
    <w:p>
      <w:pPr>
        <w:spacing w:after="0" w:line="176"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intervening circumstance relevant to this opinion between the date hereof and the date upon which the Shares are issued.</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17"/>
          <w:szCs w:val="17"/>
          <w:color w:val="auto"/>
        </w:rPr>
        <w:t>There is nothing in any law (other than the laws of the Cayman Islands) that would or might affect the opinions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Status, authorisation and execution</w:t>
      </w:r>
    </w:p>
    <w:p>
      <w:pPr>
        <w:spacing w:after="0" w:line="229" w:lineRule="exact"/>
        <w:rPr>
          <w:sz w:val="20"/>
          <w:szCs w:val="20"/>
          <w:color w:val="auto"/>
        </w:rPr>
      </w:pPr>
    </w:p>
    <w:p>
      <w:pPr>
        <w:ind w:left="660" w:hanging="652"/>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the Documents other than the Company is duly incorporated, formed or organised (as applicable), validly existing and in good standing under all relevant laws.</w:t>
      </w:r>
    </w:p>
    <w:p>
      <w:pPr>
        <w:spacing w:after="0" w:line="162" w:lineRule="exact"/>
        <w:rPr>
          <w:sz w:val="20"/>
          <w:szCs w:val="20"/>
          <w:color w:val="auto"/>
        </w:rPr>
      </w:pPr>
    </w:p>
    <w:p>
      <w:pPr>
        <w:ind w:left="660" w:hanging="652"/>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Document has been duly authorised, executed and unconditionally delivered by or on behalf of all parties to it (other than the Company) in accordance with all applicable laws.</w:t>
      </w:r>
    </w:p>
    <w:p>
      <w:pPr>
        <w:spacing w:after="0" w:line="162" w:lineRule="exact"/>
        <w:rPr>
          <w:sz w:val="20"/>
          <w:szCs w:val="20"/>
          <w:color w:val="auto"/>
        </w:rPr>
      </w:pPr>
    </w:p>
    <w:p>
      <w:pPr>
        <w:jc w:val="both"/>
        <w:ind w:left="66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authorising the execution and delivery of the Documents by the Company, the issue and allotment of the Shares and the exercise of its rights and performance of its obligations under the Documents, each of the directors of the Company has acted in good faith with a view to the best interests of the Company and has exercised the standard of care, diligence and skill that is required of him or her.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Chanson International Holding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January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w:t>
      </w:r>
    </w:p>
    <w:p>
      <w:pPr>
        <w:spacing w:after="0" w:line="229" w:lineRule="exact"/>
        <w:rPr>
          <w:sz w:val="20"/>
          <w:szCs w:val="20"/>
          <w:color w:val="auto"/>
        </w:rPr>
      </w:pPr>
    </w:p>
    <w:p>
      <w:pPr>
        <w:ind w:left="660" w:hanging="652"/>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opinions expressed herein will be adversely affected by the laws or public policies of any jurisdiction other than the Cayman Islands. In particular, but without limitation to the previous sentence:</w:t>
      </w:r>
    </w:p>
    <w:p>
      <w:pPr>
        <w:spacing w:after="0" w:line="161"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or public policies of any jurisdiction other than the Cayman Islands will not adversely affect the capacity or authority of the Company; and</w:t>
      </w:r>
    </w:p>
    <w:p>
      <w:pPr>
        <w:spacing w:after="0" w:line="161"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or delivery of the Documents nor the exercise by any party to the Documents of its rights or the performance of its obligations under them contravene those laws or public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Issuance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The Shares to be issued shall be issued at an issue price in excess of the par value thereof.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 of Writs</w:t>
      </w:r>
    </w:p>
    <w:p>
      <w:pPr>
        <w:spacing w:after="0" w:line="229" w:lineRule="exact"/>
        <w:rPr>
          <w:sz w:val="20"/>
          <w:szCs w:val="20"/>
          <w:color w:val="auto"/>
        </w:rPr>
      </w:pPr>
    </w:p>
    <w:p>
      <w:pPr>
        <w:ind w:left="660" w:hanging="652"/>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 of Writs constitutes a complete and accurate record of the proceedings affecting the Company before the Grand Court of the Cayman Islands as at the time we conducted our investigation of such register.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Chanson International Holding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January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Qualifications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 Standing</w:t>
      </w:r>
    </w:p>
    <w:p>
      <w:pPr>
        <w:spacing w:after="0" w:line="225" w:lineRule="exact"/>
        <w:rPr>
          <w:sz w:val="20"/>
          <w:szCs w:val="20"/>
          <w:color w:val="auto"/>
        </w:rPr>
      </w:pPr>
    </w:p>
    <w:p>
      <w:pPr>
        <w:jc w:val="both"/>
        <w:ind w:left="660" w:hanging="652"/>
        <w:spacing w:after="0" w:line="26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Companies Act (Revised) of the Cayman Islands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annual returns in respect of the Company must be filed with the Registrar, together with payment of annual filing fees. A failure to file annual returns and pay annual filing fees may result in the Company being struck off the Register of Companies, following which its assets will vest in the Financial Secretary of the Cayman Islands and will be subject to disposition or retention for the benefit of the public of the Cayman Islands.</w:t>
      </w:r>
    </w:p>
    <w:p>
      <w:pPr>
        <w:spacing w:after="0" w:line="176" w:lineRule="exact"/>
        <w:rPr>
          <w:sz w:val="20"/>
          <w:szCs w:val="20"/>
          <w:color w:val="auto"/>
        </w:rPr>
      </w:pPr>
    </w:p>
    <w:p>
      <w:pPr>
        <w:jc w:val="both"/>
        <w:ind w:left="660" w:hanging="652"/>
        <w:spacing w:after="0" w:line="268"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 good standing </w:t>
      </w:r>
      <w:r>
        <w:rPr>
          <w:rFonts w:ascii="Times New Roman" w:cs="Times New Roman" w:eastAsia="Times New Roman" w:hAnsi="Times New Roman"/>
          <w:sz w:val="18"/>
          <w:szCs w:val="18"/>
          <w:color w:val="auto"/>
        </w:rPr>
        <w:t>means only that as of the date of the Good Standing Certificate the Company is up-to-date with the filing of its annual returns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payment of annual fees with the Registrar. We have made no enquiries into the Company's good standing with respect to any filings or payment of fees, or both, that it may be required to make under the laws of the Cayman Islands other than the Companies Act.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Liability</w:t>
      </w:r>
    </w:p>
    <w:p>
      <w:pPr>
        <w:spacing w:after="0" w:line="229" w:lineRule="exact"/>
        <w:rPr>
          <w:sz w:val="20"/>
          <w:szCs w:val="20"/>
          <w:color w:val="auto"/>
        </w:rPr>
      </w:pPr>
    </w:p>
    <w:p>
      <w:pPr>
        <w:jc w:val="both"/>
        <w:ind w:left="660" w:hanging="652"/>
        <w:spacing w:after="0" w:line="255"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aware of any Cayman Islands authority as to when the courts would set aside the limited liability of a shareholder in a Cayman Islands company. Our opinion on the subject is based on the Companies Act and English common law authorities, the latter of which are persuasive but not binding in the courts of the Cayman Islands. Under English authorities, circumstances in which a court would attribute personal liability to a shareholder are very limited, and include: (a) such shareholder expressly assuming direct liability (such as a guarantee); (b) the company acting as the agent of such shareholder; and (c) the company being incorporated by or at the behest of such shareholder for the purpose of committing or furthering such shareholder’s fraud, or for a sham transaction otherwise carried out by such shareholder. In the absence of these circumstances, we are of the opinion that a Cayman Islands’ court would have no grounds to set aside the limited liability of a shareholder.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Non-Assessable</w:t>
      </w:r>
    </w:p>
    <w:p>
      <w:pPr>
        <w:spacing w:after="0" w:line="229" w:lineRule="exact"/>
        <w:rPr>
          <w:sz w:val="20"/>
          <w:szCs w:val="20"/>
          <w:color w:val="auto"/>
        </w:rPr>
      </w:pPr>
    </w:p>
    <w:p>
      <w:pPr>
        <w:jc w:val="both"/>
        <w:ind w:left="660" w:hanging="652"/>
        <w:spacing w:after="0" w:line="261"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opinion, the phrase “non-assessable” means, with respect to the Shares in the Company, that a shareholder shall not, solely by virtue of its status as a shareholder, be liable for additional assessments or calls on the Shares by the Company or its creditors (except in exceptional circumstances, such as involving fraud, the establishment of an agency relationship or an illegal or improper purpose or other circumstance in which a court may be prepared to pierce or lift the corporate veil).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 of Writs</w:t>
      </w:r>
    </w:p>
    <w:p>
      <w:pPr>
        <w:spacing w:after="0" w:line="229"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examination of the Register of Writs cannot conclusively reveal whether or not there is: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current or pending litigation in the Cayman Islands against the Company;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application for the winding up or dissolution of the Company or the appointment of any liquidator, trustee in bankruptcy or restructuring officer in respect of the Company or any of its assets,</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as notice of these matters might not be entered on the Register of Writs immediately or updated expeditiously or the court file associated with the matter or the matter itself may not be publicly available (for example, due to sealing orders having been made). Furthermore, we have not conducted a search of the summary court. Claims in the summary court are limited to a maximum of CI $20,000.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CHANSON INTERNATIONAL HOLDING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ORDINARY SHARES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 value $0.08 per share)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SALES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 Sunshine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E. Robinson Street, Suite 295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Orlando, FL 32801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undersigned, Chanson International Holding, an exempted company incorporated under the laws of the Cayman Islands (collectively with its subsidiaries and affiliates, including, without limitation, all entities disclosed or described in the Registration Statement (as defined below) as being subsidiaries or affiliates of Chanson International Holding,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with its registered office address in the Cayman Islands at Harneys Fiduciary</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(Cayman) Limited,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Harbour Place, 103 South Church Street, PO Box 10240, Grand Cayman KY1-1002, Cayman Islands, hereby confirms its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with AC Sunshine Securities LLC (the “</w:t>
      </w:r>
      <w:r>
        <w:rPr>
          <w:rFonts w:ascii="Times New Roman" w:cs="Times New Roman" w:eastAsia="Times New Roman" w:hAnsi="Times New Roman"/>
          <w:sz w:val="18"/>
          <w:szCs w:val="18"/>
          <w:b w:val="1"/>
          <w:bCs w:val="1"/>
          <w:u w:val="single" w:color="auto"/>
          <w:color w:val="auto"/>
        </w:rPr>
        <w:t>Sales Agent</w:t>
      </w:r>
      <w:r>
        <w:rPr>
          <w:rFonts w:ascii="Times New Roman" w:cs="Times New Roman" w:eastAsia="Times New Roman" w:hAnsi="Times New Roman"/>
          <w:sz w:val="18"/>
          <w:szCs w:val="18"/>
          <w:color w:val="auto"/>
        </w:rPr>
        <w:t>”), as follows:</w:t>
      </w:r>
    </w:p>
    <w:p>
      <w:pPr>
        <w:spacing w:after="0" w:line="200" w:lineRule="exact"/>
        <w:rPr>
          <w:sz w:val="20"/>
          <w:szCs w:val="20"/>
          <w:color w:val="auto"/>
        </w:rPr>
      </w:pPr>
    </w:p>
    <w:p>
      <w:pPr>
        <w:jc w:val="both"/>
        <w:ind w:firstLine="656"/>
        <w:spacing w:after="0" w:line="253" w:lineRule="auto"/>
        <w:tabs>
          <w:tab w:leader="none" w:pos="8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and Sale of Shares</w:t>
      </w:r>
      <w:r>
        <w:rPr>
          <w:rFonts w:ascii="Times New Roman" w:cs="Times New Roman" w:eastAsia="Times New Roman" w:hAnsi="Times New Roman"/>
          <w:sz w:val="18"/>
          <w:szCs w:val="18"/>
          <w:color w:val="auto"/>
        </w:rPr>
        <w:t>. The Company agrees that, from time to time during the term of this Agreement, on the terms and subject to the conditions set forth herein, it may issue and sell to or through the Sales Agent, acting as agent or principal, Class A ordinary shares of the Company, par value $0.08 per share (the “</w:t>
      </w:r>
      <w:r>
        <w:rPr>
          <w:rFonts w:ascii="Times New Roman" w:cs="Times New Roman" w:eastAsia="Times New Roman" w:hAnsi="Times New Roman"/>
          <w:sz w:val="18"/>
          <w:szCs w:val="18"/>
          <w:b w:val="1"/>
          <w:bCs w:val="1"/>
          <w:u w:val="single" w:color="auto"/>
          <w:color w:val="auto"/>
        </w:rPr>
        <w:t>Class A Ordinary Shares</w:t>
      </w:r>
      <w:r>
        <w:rPr>
          <w:rFonts w:ascii="Times New Roman" w:cs="Times New Roman" w:eastAsia="Times New Roman" w:hAnsi="Times New Roman"/>
          <w:sz w:val="18"/>
          <w:szCs w:val="18"/>
          <w:color w:val="auto"/>
        </w:rPr>
        <w:t xml:space="preserve">”) having an aggregate offering price of up to $219,375,000, subject to the limitations set forth in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hereof. The issuance and sale of the Class A Ordinary Shares to or through the Sales Agent will be effected pursuant to the Registration Statement filed by the Company and which was declared effective under the Securities Act (as defined below) by the U.S. Securities and Exchange Commission (the “</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Notwithstanding anything to the contrary contained herein, the parties acknowledge and agree that compliance with any limitations applicable to the issuance and sale of Class A Ordinary Shares under this Agreement, whether arising under the Registration Statement or applicable law (including General Instruction I.B.5 of Form F-3), shall be the sole responsibility of the Company. The Sales Agent shall have no obligation in connection with such compliance, provided that the Sales Agent acts in accordance with the parameters set forth by the Company in any Placement Notice (as defined below) delivered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Company has filed, in accordance with the provisions of the Securities Act of 1933, as amended, and the rules and regulations thereunder (collectively,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with the Commission, a shelf registration statement on Form F-3 (File No. 333-289600), including a base prospectus, relating to certain securities, including Class A Ordinary Shares, to be issued from time to time by the Company, and which incorporates by reference documents that the Company has filed and certain documents that the Company will file in accordance with the provisions of the Securities Exchange Act of 1934, as amended, and the rules and regulations thereunder (collectively, the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The Company has prepared a prospectus supplement to the base prospectus included as part of such registration statement specifically relating to the offering of Class A Ordinary Shares pursuant to this Agreement (the “</w:t>
      </w:r>
      <w:r>
        <w:rPr>
          <w:rFonts w:ascii="Times New Roman" w:cs="Times New Roman" w:eastAsia="Times New Roman" w:hAnsi="Times New Roman"/>
          <w:sz w:val="18"/>
          <w:szCs w:val="18"/>
          <w:b w:val="1"/>
          <w:bCs w:val="1"/>
          <w:u w:val="single" w:color="auto"/>
          <w:color w:val="auto"/>
        </w:rPr>
        <w:t>ATM Prospectus</w:t>
      </w:r>
      <w:r>
        <w:rPr>
          <w:rFonts w:ascii="Times New Roman" w:cs="Times New Roman" w:eastAsia="Times New Roman" w:hAnsi="Times New Roman"/>
          <w:sz w:val="18"/>
          <w:szCs w:val="18"/>
          <w:color w:val="auto"/>
        </w:rPr>
        <w:t>”). The Company will furnish to the Sales Agent, for use by the Sales Agent, copies of the ATM Prospectus included as part of such registration statement, relating to the Placement Shares (as defined below). Except where the context otherwise requires, such registration statement, as amended when it becomes effective, including all documents filed as a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462(b) of the Securities Act, or any subsequent registration statement on Form F-3 filed pursuant to Rule 415 under the Securities Act by the Company to cover any Placement Shares, is herein called the “</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The base prospectus, including all documents incorporated therein by reference (to the extent such information has not been superseded or modified in accordance with Rule 412 under the Securities Act (as qualified by Rule 430B(g) of the Securities Act)), and the ATM Prospectus, including all documents incorporated therein by reference (to the extent such information has not been superseded or modified in accordance with Rule 412 under the Securities Act (as qualified by Rule 430B(g) of the Securities Act)), each of which is included in the Registration Statement, as it or they may be supplemented by any additional prospectus supplement, in the form in which such prospectus and/or the ATM Prospectus have most recently been filed by the Company with the Commission pursuant to Rule 424(b) under the Securities Act, together with any “issuer free writing prospectus” (“</w:t>
      </w:r>
      <w:r>
        <w:rPr>
          <w:rFonts w:ascii="Times New Roman" w:cs="Times New Roman" w:eastAsia="Times New Roman" w:hAnsi="Times New Roman"/>
          <w:sz w:val="18"/>
          <w:szCs w:val="18"/>
          <w:b w:val="1"/>
          <w:bCs w:val="1"/>
          <w:u w:val="single" w:color="auto"/>
          <w:color w:val="auto"/>
        </w:rPr>
        <w:t>Issuer Free Writing Prospectus</w:t>
      </w:r>
      <w:r>
        <w:rPr>
          <w:rFonts w:ascii="Times New Roman" w:cs="Times New Roman" w:eastAsia="Times New Roman" w:hAnsi="Times New Roman"/>
          <w:sz w:val="18"/>
          <w:szCs w:val="18"/>
          <w:color w:val="auto"/>
        </w:rPr>
        <w:t>”), as defined in Rule 433 of the Securities Act (“</w:t>
      </w:r>
      <w:r>
        <w:rPr>
          <w:rFonts w:ascii="Times New Roman" w:cs="Times New Roman" w:eastAsia="Times New Roman" w:hAnsi="Times New Roman"/>
          <w:sz w:val="18"/>
          <w:szCs w:val="18"/>
          <w:b w:val="1"/>
          <w:bCs w:val="1"/>
          <w:u w:val="single" w:color="auto"/>
          <w:color w:val="auto"/>
        </w:rPr>
        <w:t>Rule 433</w:t>
      </w:r>
      <w:r>
        <w:rPr>
          <w:rFonts w:ascii="Times New Roman" w:cs="Times New Roman" w:eastAsia="Times New Roman" w:hAnsi="Times New Roman"/>
          <w:sz w:val="18"/>
          <w:szCs w:val="18"/>
          <w:color w:val="auto"/>
        </w:rPr>
        <w:t>”), relating to the Placement Shares that (i) is required to be filed with the Commission by the Company or (ii) 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 w:cs="Times New Roman" w:eastAsia="Times New Roman" w:hAnsi="Times New Roman"/>
          <w:sz w:val="18"/>
          <w:szCs w:val="18"/>
          <w:b w:val="1"/>
          <w:bCs w:val="1"/>
          <w:u w:val="single" w:color="auto"/>
          <w:color w:val="auto"/>
        </w:rPr>
        <w:t>Prospectus</w:t>
      </w:r>
      <w:r>
        <w:rPr>
          <w:rFonts w:ascii="Times New Roman" w:cs="Times New Roman" w:eastAsia="Times New Roman" w:hAnsi="Times New Roman"/>
          <w:sz w:val="18"/>
          <w:szCs w:val="18"/>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either the Electronic Data Gathering Analysis and Retrieval System, or if applicable, the Interactive Data Electronic Applications (collectively “</w:t>
      </w:r>
      <w:r>
        <w:rPr>
          <w:rFonts w:ascii="Times New Roman" w:cs="Times New Roman" w:eastAsia="Times New Roman" w:hAnsi="Times New Roman"/>
          <w:sz w:val="18"/>
          <w:szCs w:val="18"/>
          <w:b w:val="1"/>
          <w:bCs w:val="1"/>
          <w:u w:val="single" w:color="auto"/>
          <w:color w:val="auto"/>
        </w:rPr>
        <w:t>EDGAR</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firstLine="656"/>
        <w:spacing w:after="0" w:line="252" w:lineRule="auto"/>
        <w:tabs>
          <w:tab w:leader="none" w:pos="84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Placements</w:t>
      </w:r>
      <w:r>
        <w:rPr>
          <w:rFonts w:ascii="Times New Roman" w:cs="Times New Roman" w:eastAsia="Times New Roman" w:hAnsi="Times New Roman"/>
          <w:sz w:val="18"/>
          <w:szCs w:val="18"/>
          <w:color w:val="auto"/>
        </w:rPr>
        <w:t>. Each time that the Company wishes to issue and sell the Class A Ordinary Shares through the Sales Agent, as agent, hereunder (each, a “</w:t>
      </w:r>
      <w:r>
        <w:rPr>
          <w:rFonts w:ascii="Times New Roman" w:cs="Times New Roman" w:eastAsia="Times New Roman" w:hAnsi="Times New Roman"/>
          <w:sz w:val="18"/>
          <w:szCs w:val="18"/>
          <w:b w:val="1"/>
          <w:bCs w:val="1"/>
          <w:u w:val="single" w:color="auto"/>
          <w:color w:val="auto"/>
        </w:rPr>
        <w:t>Placement</w:t>
      </w:r>
      <w:r>
        <w:rPr>
          <w:rFonts w:ascii="Times New Roman" w:cs="Times New Roman" w:eastAsia="Times New Roman" w:hAnsi="Times New Roman"/>
          <w:sz w:val="18"/>
          <w:szCs w:val="18"/>
          <w:color w:val="auto"/>
        </w:rPr>
        <w:t>”), it will notify the Sales Agent by email notice (or other method mutually agreed to in writing by the parties) (a “</w:t>
      </w:r>
      <w:r>
        <w:rPr>
          <w:rFonts w:ascii="Times New Roman" w:cs="Times New Roman" w:eastAsia="Times New Roman" w:hAnsi="Times New Roman"/>
          <w:sz w:val="18"/>
          <w:szCs w:val="18"/>
          <w:b w:val="1"/>
          <w:bCs w:val="1"/>
          <w:u w:val="single" w:color="auto"/>
          <w:color w:val="auto"/>
        </w:rPr>
        <w:t>Placement Notice</w:t>
      </w:r>
      <w:r>
        <w:rPr>
          <w:rFonts w:ascii="Times New Roman" w:cs="Times New Roman" w:eastAsia="Times New Roman" w:hAnsi="Times New Roman"/>
          <w:sz w:val="18"/>
          <w:szCs w:val="18"/>
          <w:color w:val="auto"/>
        </w:rPr>
        <w:t>”) containing the parameters in accordance with which it desires the Class A Ordinary Shares to be sold, which shall at a minimum include the number of Class A Ordinary Shares to be issued (the “</w:t>
      </w:r>
      <w:r>
        <w:rPr>
          <w:rFonts w:ascii="Times New Roman" w:cs="Times New Roman" w:eastAsia="Times New Roman" w:hAnsi="Times New Roman"/>
          <w:sz w:val="18"/>
          <w:szCs w:val="18"/>
          <w:b w:val="1"/>
          <w:bCs w:val="1"/>
          <w:u w:val="single" w:color="auto"/>
          <w:color w:val="auto"/>
        </w:rPr>
        <w:t>Placement Shares</w:t>
      </w:r>
      <w:r>
        <w:rPr>
          <w:rFonts w:ascii="Times New Roman" w:cs="Times New Roman" w:eastAsia="Times New Roman" w:hAnsi="Times New Roman"/>
          <w:sz w:val="18"/>
          <w:szCs w:val="18"/>
          <w:color w:val="auto"/>
        </w:rPr>
        <w:t xml:space="preserve">”), the time period during which sales are requested to be made, any limitation on the number of Class A Ordinary Shares that may be sold in any one Trading Day (as defined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 any minimum price below which sales may not be made, a form of which containing such minimum sales parameters necessary is attached hereto as </w:t>
      </w:r>
      <w:r>
        <w:rPr>
          <w:rFonts w:ascii="Times New Roman" w:cs="Times New Roman" w:eastAsia="Times New Roman" w:hAnsi="Times New Roman"/>
          <w:sz w:val="18"/>
          <w:szCs w:val="18"/>
          <w:b w:val="1"/>
          <w:bCs w:val="1"/>
          <w:u w:val="single" w:color="auto"/>
          <w:color w:val="auto"/>
        </w:rPr>
        <w:t>Schedule 1</w:t>
      </w:r>
      <w:r>
        <w:rPr>
          <w:rFonts w:ascii="Times New Roman" w:cs="Times New Roman" w:eastAsia="Times New Roman" w:hAnsi="Times New Roman"/>
          <w:sz w:val="18"/>
          <w:szCs w:val="18"/>
          <w:color w:val="auto"/>
        </w:rPr>
        <w:t xml:space="preserve">. The Placement Notice shall originate from any of the individuals from the Company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(with a copy to each of the other individuals from the Company listed on such schedule), and shall be addressed to each of the individuals from the Sales Agent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as such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may be amended from time to time in writing (including by e-mail). The Placement Notice shall be effective upon receipt by the Sales Agent unless and until (i) in accordance with the notice requirements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the Sales Agent declines to accept the terms contained therein for any reason, in its sole discretion, (ii) the entire amount of the Placement Shares that have been sold, (iii) in accordance with the notice requirements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the Company suspends or terminates the Placement Notice, which suspension and termination rights may be exercised by the Company in its sole discretion, (iv) the Company issues a subsequent Placement Notice with parameters superseding those on the earlier dated Placement Notice, or (v) the Agreement has been terminated under the provisions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The amount of any discount, commission or other compensation to be paid by the Company to the Sales Agent in connection with the sale of the Placement Shares through the Sales Agent, as agent, shall be as set forth in </w:t>
      </w:r>
      <w:r>
        <w:rPr>
          <w:rFonts w:ascii="Times New Roman" w:cs="Times New Roman" w:eastAsia="Times New Roman" w:hAnsi="Times New Roman"/>
          <w:sz w:val="18"/>
          <w:szCs w:val="18"/>
          <w:b w:val="1"/>
          <w:bCs w:val="1"/>
          <w:u w:val="single" w:color="auto"/>
          <w:color w:val="auto"/>
        </w:rPr>
        <w:t>Schedule 3</w:t>
      </w:r>
      <w:r>
        <w:rPr>
          <w:rFonts w:ascii="Times New Roman" w:cs="Times New Roman" w:eastAsia="Times New Roman" w:hAnsi="Times New Roman"/>
          <w:sz w:val="18"/>
          <w:szCs w:val="18"/>
          <w:color w:val="auto"/>
        </w:rPr>
        <w:t>. It is expressly acknowledged and agreed that neither the Company nor the Sales Agent will have any obligation whatsoever with respect to a Placement or any Placement Shares unless and until the Company delivers a Placement Notice to the Sales Agent and the Sales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left="840" w:hanging="184"/>
        <w:spacing w:after="0"/>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Placement Shares by the Sales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2" w:lineRule="auto"/>
        <w:tabs>
          <w:tab w:leader="none" w:pos="89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herein set forth, upon the Company’s issuance of a Placement Notice, and unless the sale of the Placement Shares described therein has been declined, suspended, or otherwise terminated in accordance with the terms of this Agreement, the Sales Agent, as agent for the Company, will use its commercially reasonable efforts consistent with its normal trading and sales practices and applicable state and federal laws, rules and regulations and the rules of The Nasdaq Capital Market (the “</w:t>
      </w:r>
      <w:r>
        <w:rPr>
          <w:rFonts w:ascii="Times New Roman" w:cs="Times New Roman" w:eastAsia="Times New Roman" w:hAnsi="Times New Roman"/>
          <w:sz w:val="18"/>
          <w:szCs w:val="18"/>
          <w:b w:val="1"/>
          <w:bCs w:val="1"/>
          <w:u w:val="single" w:color="auto"/>
          <w:color w:val="auto"/>
        </w:rPr>
        <w:t>Exchange</w:t>
      </w:r>
      <w:r>
        <w:rPr>
          <w:rFonts w:ascii="Times New Roman" w:cs="Times New Roman" w:eastAsia="Times New Roman" w:hAnsi="Times New Roman"/>
          <w:sz w:val="18"/>
          <w:szCs w:val="18"/>
          <w:color w:val="auto"/>
        </w:rPr>
        <w:t xml:space="preserve">”), for the period specified in the Placement Notice, to sell such Placement Shares up to the amount specified by the Company in, and otherwise in accordance with the terms of such Placement Notice. If acting as agent hereunder, the Sales Agent will provide written confirmation to the Company (including by email correspondence to each of the individuals of the Company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of Placement Shares sold on such day, the volume-weighted average price of the Placement Shares, the compensation payable by the Company to the Sales Agent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with respect to such sales, and the Net Proceeds (as defined below) payable to the Company, with an itemization of the deductions made by the Sales Agent (as set forth in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from the gross proceeds that it receives from such sales. Subject to the terms of the Placement Notice, the Sales Agent may sell Placement Shares by any method permitted by law deemed to be an “at the market offering” as defined in Rule 415 under the Securities Act, including, without limitation, sales made directly on the Exchange, on any other existing trading market for the Class A Ordinary Shares or to or through a market maker. The Company acknowledges and agrees that (i) there can be no assurance that the Sales Agent will be successful in selling Placement Shares, (ii) the Sales Agent will incur no liability or obligation to the Company or any other person or entity if it does not sell Placement Shares for any reason other than a failure by the Sales Agent to use its commercially reasonable efforts consistent with its normal trading and sales practices and applicable law and regulations to sell such Placement Shares as required under this Agreement and (iii) the Sales Agent shall be under no obligation to purchase Placement Shares on a principal basis pursuant to this Agreement, except as otherwise agreed by the Sales Agent and the Company in writing and expressly set forth in a Placement Notice. For the purposes hereof, “</w:t>
      </w:r>
      <w:r>
        <w:rPr>
          <w:rFonts w:ascii="Times New Roman" w:cs="Times New Roman" w:eastAsia="Times New Roman" w:hAnsi="Times New Roman"/>
          <w:sz w:val="18"/>
          <w:szCs w:val="18"/>
          <w:b w:val="1"/>
          <w:bCs w:val="1"/>
          <w:u w:val="single" w:color="auto"/>
          <w:color w:val="auto"/>
        </w:rPr>
        <w:t>Trading Day</w:t>
      </w:r>
      <w:r>
        <w:rPr>
          <w:rFonts w:ascii="Times New Roman" w:cs="Times New Roman" w:eastAsia="Times New Roman" w:hAnsi="Times New Roman"/>
          <w:sz w:val="18"/>
          <w:szCs w:val="18"/>
          <w:color w:val="auto"/>
        </w:rPr>
        <w:t>” means any day on which the Company’s Class A Ordinary Shares are purchased and sold on the principal market on which the Class A Ordinary Shares are listed or quoted.</w:t>
      </w:r>
    </w:p>
    <w:p>
      <w:pPr>
        <w:spacing w:after="0" w:line="187" w:lineRule="exact"/>
        <w:rPr>
          <w:rFonts w:ascii="Times New Roman" w:cs="Times New Roman" w:eastAsia="Times New Roman" w:hAnsi="Times New Roman"/>
          <w:sz w:val="18"/>
          <w:szCs w:val="18"/>
          <w:color w:val="auto"/>
        </w:rPr>
      </w:pPr>
    </w:p>
    <w:p>
      <w:pPr>
        <w:jc w:val="both"/>
        <w:ind w:firstLine="656"/>
        <w:spacing w:after="0" w:line="252" w:lineRule="auto"/>
        <w:tabs>
          <w:tab w:leader="none" w:pos="90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no circumstances shall the Company cause or request the offer or sale of any Placement Shares if, after giving effect to the sale of such Placement Shares the aggregate number or gross sales proceeds of Placement Shares sold pursuant to this Agreement would exceed the lesser of: (i) the number or dollar amount of Class A Ordinary Shares registered pursuant to the Registration Statement pursuant to which the offering hereunder is being made, (ii) the aggregate number of authorized but unissued and unreserved Class A Ordinary Shares in accordance with the Company’s amended and restated memorandum and articles of association, as amended and restated from time to time (the “</w:t>
      </w:r>
      <w:r>
        <w:rPr>
          <w:rFonts w:ascii="Times New Roman" w:cs="Times New Roman" w:eastAsia="Times New Roman" w:hAnsi="Times New Roman"/>
          <w:sz w:val="18"/>
          <w:szCs w:val="18"/>
          <w:b w:val="1"/>
          <w:bCs w:val="1"/>
          <w:u w:val="single" w:color="auto"/>
          <w:color w:val="auto"/>
        </w:rPr>
        <w:t>Articles</w:t>
      </w:r>
      <w:r>
        <w:rPr>
          <w:rFonts w:ascii="Times New Roman" w:cs="Times New Roman" w:eastAsia="Times New Roman" w:hAnsi="Times New Roman"/>
          <w:sz w:val="18"/>
          <w:szCs w:val="18"/>
          <w:color w:val="auto"/>
        </w:rPr>
        <w:t xml:space="preserve">”) (iii) the number or dollar amount of Class A Ordinary Shares permitted to be offered and sold by the Company under the Registration Statement (including General Instruction I.B.5. of Form F-3, if and for so long as applicable), (iv) the number or dollar amount of Class A Ordinary Shares authorized from time to time to be issued and sold under this Agreement by the Company’s board of directors, a duly authorized committee thereof or a duly authorized executive committee, and notified to the Sales Agent in writing, or (v) the number or dollar amount of Class A Ordinary Shares for which the Company has filed the ATM Prospectus or other prospectus supplement specifically relating to the offering of the Placement Shares pursuant to this Agreement. Under no circumstances shall the Company cause or request the offer or sale of any Placement Shares pursuant to this Agreement at a price lower than the higher of (a) the par value of the Placement Shares from time to time; or (b) the minimum price authorized from time to time by the Company’s board of directors, a duly authorized committee thereof or a duly authorized executive committee, and notified to the Sales Agent in writing. Notwithstanding anything to the contrary contained herein, the parties hereto acknowledge and agree that compliance with the limitations set forth in this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on the number or dollar amount of Placement Shares that may be issued and sold under this Agreement from time to time shall be the sole responsibility of the Company, and that the Sales Agent shall have no obligation in connection with such compliance.</w:t>
      </w:r>
    </w:p>
    <w:p>
      <w:pPr>
        <w:spacing w:after="0" w:line="194" w:lineRule="exact"/>
        <w:rPr>
          <w:rFonts w:ascii="Times New Roman" w:cs="Times New Roman" w:eastAsia="Times New Roman" w:hAnsi="Times New Roman"/>
          <w:sz w:val="18"/>
          <w:szCs w:val="18"/>
          <w:color w:val="auto"/>
        </w:rPr>
      </w:pPr>
    </w:p>
    <w:p>
      <w:pPr>
        <w:jc w:val="both"/>
        <w:ind w:firstLine="656"/>
        <w:spacing w:after="0" w:line="256" w:lineRule="auto"/>
        <w:tabs>
          <w:tab w:leader="none" w:pos="91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this Agreement, neither the Sales Agent nor any of its affiliates or subsidiaries shall engage in (i) any short sale of any security of the Company or (ii) any sale of any security of the Company that the Sales Agent does not own or any sale that is consummated by the delivery of a security of the Company borrowed by, or for the account of, the Sales Agent. During the term of this Agreement and notwithstanding anything to the contrary herein, the Sales Agent agrees that in no event will the Sales Agent or its affiliates engage in any market making, bidding, stabilization or other trading activity with regard to the Class A Ordinary Shares or related derivative securities if such activity would be prohibited under Regulation M or other anti-manipulation rules under the Exchange 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ind w:left="840" w:hanging="184"/>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89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or the Sales Agent may, upon notice to the other party in writing (including by email correspondence to each of the individuals of the other party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if receipt of such correspondence is actually acknowledged by any of the individuals to whom the notice is sent, other than via auto-reply) or by telephone (confirmed immediately by email correspondence to each of the individuals of the other party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suspend any sale of Placement Shares for a period of time (a “</w:t>
      </w:r>
      <w:r>
        <w:rPr>
          <w:rFonts w:ascii="Times New Roman" w:cs="Times New Roman" w:eastAsia="Times New Roman" w:hAnsi="Times New Roman"/>
          <w:sz w:val="18"/>
          <w:szCs w:val="18"/>
          <w:b w:val="1"/>
          <w:bCs w:val="1"/>
          <w:u w:val="single" w:color="auto"/>
          <w:color w:val="auto"/>
        </w:rPr>
        <w:t>Suspension Period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suspension shall not affect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impair either party’s obligations with respect to any Placement Shares sold hereunder prior to the receipt of such notice (including with respect to Placement Shares that have not yet settled). Each of the parties agrees that no such notice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be effective against the other unless it is made to one of the individuals named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hereto, as such schedule may be amended from time to time. During a Suspension Period, the Company shall not issue any Placement Notices and the Sales Agent shall not sell any Placement Shares hereunder. The party that issued a suspension notice shall notify the other party in writing of the Trading Day on which the Suspension Period shall expire not later than twenty-four (24) hours prior to such Trading Day.</w:t>
      </w:r>
    </w:p>
    <w:p>
      <w:pPr>
        <w:spacing w:after="0" w:line="194" w:lineRule="exact"/>
        <w:rPr>
          <w:rFonts w:ascii="Times New Roman" w:cs="Times New Roman" w:eastAsia="Times New Roman" w:hAnsi="Times New Roman"/>
          <w:sz w:val="18"/>
          <w:szCs w:val="18"/>
          <w:color w:val="auto"/>
        </w:rPr>
      </w:pPr>
    </w:p>
    <w:p>
      <w:pPr>
        <w:jc w:val="both"/>
        <w:ind w:firstLine="656"/>
        <w:spacing w:after="0" w:line="266" w:lineRule="auto"/>
        <w:tabs>
          <w:tab w:leader="none" w:pos="92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during any period in which the Company is in possession of material non-public information with respect to the Company, the Company and the Sales Agent agree that (i) no sale of Placement Shares will take place, (ii) the Company shall not request the sale of any Placement Shares, and (iii) the Sales Agent shall not be obligated to sell or offer to sell any Placement Shares.</w:t>
      </w:r>
    </w:p>
    <w:p>
      <w:pPr>
        <w:spacing w:after="0" w:line="176" w:lineRule="exact"/>
        <w:rPr>
          <w:sz w:val="20"/>
          <w:szCs w:val="20"/>
          <w:color w:val="auto"/>
        </w:rPr>
      </w:pPr>
    </w:p>
    <w:p>
      <w:pPr>
        <w:ind w:left="840" w:hanging="184"/>
        <w:spacing w:after="0"/>
        <w:tabs>
          <w:tab w:leader="none" w:pos="8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5" w:lineRule="auto"/>
        <w:tabs>
          <w:tab w:leader="none" w:pos="89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Placement Shares</w:t>
      </w:r>
      <w:r>
        <w:rPr>
          <w:rFonts w:ascii="Times New Roman" w:cs="Times New Roman" w:eastAsia="Times New Roman" w:hAnsi="Times New Roman"/>
          <w:sz w:val="18"/>
          <w:szCs w:val="18"/>
          <w:color w:val="auto"/>
        </w:rPr>
        <w:t>. Unless otherwise specified in the applicable Placement Notice, settlement for sales of Placement Shares will occur on the first (1st) Trading Day (or such day as is industry practice or required by law for regular-way trading) following the respective Point of Sale (as defined below) (each, a “</w:t>
      </w:r>
      <w:r>
        <w:rPr>
          <w:rFonts w:ascii="Times New Roman" w:cs="Times New Roman" w:eastAsia="Times New Roman" w:hAnsi="Times New Roman"/>
          <w:sz w:val="18"/>
          <w:szCs w:val="18"/>
          <w:b w:val="1"/>
          <w:bCs w:val="1"/>
          <w:u w:val="single" w:color="auto"/>
          <w:color w:val="auto"/>
        </w:rPr>
        <w:t>Settlement Date</w:t>
      </w:r>
      <w:r>
        <w:rPr>
          <w:rFonts w:ascii="Times New Roman" w:cs="Times New Roman" w:eastAsia="Times New Roman" w:hAnsi="Times New Roman"/>
          <w:sz w:val="18"/>
          <w:szCs w:val="18"/>
          <w:color w:val="auto"/>
        </w:rPr>
        <w:t>”). The amount of proceeds to be delivered to the Company on a Settlement Date against receipt of the Placement Shares sold (the “</w:t>
      </w:r>
      <w:r>
        <w:rPr>
          <w:rFonts w:ascii="Times New Roman" w:cs="Times New Roman" w:eastAsia="Times New Roman" w:hAnsi="Times New Roman"/>
          <w:sz w:val="18"/>
          <w:szCs w:val="18"/>
          <w:b w:val="1"/>
          <w:bCs w:val="1"/>
          <w:u w:val="single" w:color="auto"/>
          <w:color w:val="auto"/>
        </w:rPr>
        <w:t>Net Proceeds</w:t>
      </w:r>
      <w:r>
        <w:rPr>
          <w:rFonts w:ascii="Times New Roman" w:cs="Times New Roman" w:eastAsia="Times New Roman" w:hAnsi="Times New Roman"/>
          <w:sz w:val="18"/>
          <w:szCs w:val="18"/>
          <w:color w:val="auto"/>
        </w:rPr>
        <w:t xml:space="preserve">”) will be equal to the aggregate sales price received by the Sales Agent at which such Placement Shares were sold, after deduction for (i) the Sales Agent’s discount, commission or other compensation for such sales payable by the Company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and (ii) any transaction fees, trading expenses or execution fees imposed by any clearing organization or any governmental or self-regulatory organization and any other fees or expenses incurred by the Sales Agent in respect of such sales.</w:t>
      </w:r>
    </w:p>
    <w:p>
      <w:pPr>
        <w:spacing w:after="0" w:line="188" w:lineRule="exact"/>
        <w:rPr>
          <w:rFonts w:ascii="Times New Roman" w:cs="Times New Roman" w:eastAsia="Times New Roman" w:hAnsi="Times New Roman"/>
          <w:sz w:val="18"/>
          <w:szCs w:val="18"/>
          <w:color w:val="auto"/>
        </w:rPr>
      </w:pPr>
    </w:p>
    <w:p>
      <w:pPr>
        <w:jc w:val="both"/>
        <w:ind w:firstLine="656"/>
        <w:spacing w:after="0" w:line="252" w:lineRule="auto"/>
        <w:tabs>
          <w:tab w:leader="none" w:pos="90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Issue of Placement Shares</w:t>
      </w:r>
      <w:r>
        <w:rPr>
          <w:rFonts w:ascii="Times New Roman" w:cs="Times New Roman" w:eastAsia="Times New Roman" w:hAnsi="Times New Roman"/>
          <w:sz w:val="18"/>
          <w:szCs w:val="18"/>
          <w:color w:val="auto"/>
        </w:rPr>
        <w:t xml:space="preserve">. On or before each Settlement Date, the Company will, or will cause its transfer agent to, electronically issue the Placement Shares being sold by crediting the Sales Agent’s or its designee’s account (provided the Sales Agent shall have given the Company written notice of such designee at least one Trading Day prior to the Settlement Date) at The Depository Trust Company through its Deposit and Withdrawal at Custodian System and making a corresponding entry into the Company’s register of members or by such other means of issuance and delivery as may be mutually agreed upon by the parties hereto which in all cases shall be freely tradable, transferable, registered Class A Ordinary Shares in good form. On each Settlement Date, the Sales Agent will deliver the related Net Proceeds in same day funds to an account designated by the Company on, or prior to, the Settlement Date. The Sales Agent shall be responsible for providing DWAC instructions or other instructions for delivery by other means with respect to the issuance of the Placement Shares. The Company agrees that if the Company, or its transfer agent (if applicable), defaults in its obligation to issue duly authorized Placement Shares on a Settlement Date, the Company agrees that in addition to and in no way limiting the rights and obligations set forth in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(Indemnification and Contribution) hereto, the Company will (i) hold the Sales Agent, its directors, officers, members, partners, employees and agents of the Sales Agent, each broker dealer affiliate of the Sales Agent, and each person, if any, who (A) controls the Sales Agent within the meaning of Section 15 of the Securities Act or Section 20 of the Exchange Act or (B) is controlled by or is under common control with the Sales Agent (each, a “</w:t>
      </w:r>
      <w:r>
        <w:rPr>
          <w:rFonts w:ascii="Times New Roman" w:cs="Times New Roman" w:eastAsia="Times New Roman" w:hAnsi="Times New Roman"/>
          <w:sz w:val="18"/>
          <w:szCs w:val="18"/>
          <w:b w:val="1"/>
          <w:bCs w:val="1"/>
          <w:u w:val="single" w:color="auto"/>
          <w:color w:val="auto"/>
        </w:rPr>
        <w:t>Sales Agent Affiliate</w:t>
      </w:r>
      <w:r>
        <w:rPr>
          <w:rFonts w:ascii="Times New Roman" w:cs="Times New Roman" w:eastAsia="Times New Roman" w:hAnsi="Times New Roman"/>
          <w:sz w:val="18"/>
          <w:szCs w:val="18"/>
          <w:color w:val="auto"/>
        </w:rPr>
        <w:t>”), and the Sales Agent’s clearing organization, harmless against any loss, claim, damage, or reasonable and documented expense (including reasonable legal fees and expenses), as incurred, arising out of or in connection with such default by the Company or its transfer agent (if applicable) and (ii) pay to the Sales Agent any commission, discount, or other compensation to which it would otherwise have been entitled absent such default.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firstLine="656"/>
        <w:spacing w:after="0" w:line="282" w:lineRule="auto"/>
        <w:tabs>
          <w:tab w:leader="none" w:pos="84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xml:space="preserve">. The Company represents and warrants to, and agrees with, the Sales Agent that as of each Applicable Time (as defined in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unless such representation, warranty or agreement specifies a different time or times:</w:t>
      </w:r>
    </w:p>
    <w:p>
      <w:pPr>
        <w:spacing w:after="0" w:line="162" w:lineRule="exact"/>
        <w:rPr>
          <w:sz w:val="20"/>
          <w:szCs w:val="20"/>
          <w:color w:val="auto"/>
        </w:rPr>
      </w:pPr>
    </w:p>
    <w:p>
      <w:pPr>
        <w:jc w:val="both"/>
        <w:ind w:firstLine="656"/>
        <w:spacing w:after="0" w:line="269" w:lineRule="auto"/>
        <w:tabs>
          <w:tab w:leader="none" w:pos="893"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each Applicable Time other than the date of this Agreement, the Registration Statement and any Rule 462(b) Registration Statement have been declared effective by the Commission under the Securities Act and the Company is and continues to be eligible to use such Form F-3. The Company has complied to the Commission’s satisfaction with all requests of the Commission for additional or supplemental information related to the Registration Statement and the Prospectus. No stop order suspending the effectiveness of the Registration Statement or any Rule 462(b) Registration Statement is in effect and no proceedings for such purpose have been instituted or are pending or, to the knowledge of the Company, are contemplated or threatened by the Commission. The Registration Statement and, assuming no act or omission on the part of the Sales Agent that would make such statements untrue, the offer and sale of the Placement Shares as contemplated hereby meet the requirements of Rule 415 under the Securities Act and comply in all material respects with said Rule. Under the caption entitled “Plan of Distribution” in the ATM Prospectus, the Company has named AC Sunshine Securities LLC as an agent that the Company has engaged in connection with the transactions contemplated by this Agreement. The Company was not and is not an “ineligible issuer” as defined in Rule 405 under the Securities Act as of the date of this Agreement and as of each Applicable Time in connection with the offering of the Placement Shares. The Company is in compliance with all applicable listing and maintenance requirements of the Exchange.</w:t>
      </w:r>
    </w:p>
    <w:p>
      <w:pPr>
        <w:spacing w:after="0" w:line="181" w:lineRule="exact"/>
        <w:rPr>
          <w:rFonts w:ascii="Times New Roman" w:cs="Times New Roman" w:eastAsia="Times New Roman" w:hAnsi="Times New Roman"/>
          <w:sz w:val="17"/>
          <w:szCs w:val="17"/>
          <w:color w:val="auto"/>
        </w:rPr>
      </w:pPr>
    </w:p>
    <w:p>
      <w:pPr>
        <w:jc w:val="both"/>
        <w:ind w:firstLine="656"/>
        <w:spacing w:after="0" w:line="253" w:lineRule="auto"/>
        <w:tabs>
          <w:tab w:leader="none" w:pos="90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 any post-effective amendment thereto, at the time it became or becomes effective, complied or will comply in all material respects with the Securities Act. The Prospectus, and any amendment or supplement thereto, on the date of such Prospectus or amendment or supplement, complied in all material respects with the Securities Act. The Registration Statement and any post-effective amendment thereto, at the time it became or becomes effective, did not and will not contain any untrue statement of a material fact or omit to state a material fact required to be stated therein or necessary to make the statements therein not misleading. The Prospectus, as amended or supplemented, as of its date, did not and, as of each Point of Sale and each Settlement Date, will not contain any untrue statement of a material fact or omit to state a material fact necessary in order to make the statements therein, in the light of the circumstances under which they were made, not misleading. The representations and warranties set forth in the two immediately preceding sentences do not apply to statements in or omissions from the Registration Statement or any post-effective amendment thereto, or the Prospectus, or any amendments or supplements thereto, made in reliance upon and in conformity with information relating to the Sales Agent furnished to the Company in writing by the Sales Agent expressly for use therein. “</w:t>
      </w:r>
      <w:r>
        <w:rPr>
          <w:rFonts w:ascii="Times New Roman" w:cs="Times New Roman" w:eastAsia="Times New Roman" w:hAnsi="Times New Roman"/>
          <w:sz w:val="18"/>
          <w:szCs w:val="18"/>
          <w:b w:val="1"/>
          <w:bCs w:val="1"/>
          <w:u w:val="single" w:color="auto"/>
          <w:color w:val="auto"/>
        </w:rPr>
        <w:t>Point of Sale</w:t>
      </w:r>
      <w:r>
        <w:rPr>
          <w:rFonts w:ascii="Times New Roman" w:cs="Times New Roman" w:eastAsia="Times New Roman" w:hAnsi="Times New Roman"/>
          <w:sz w:val="18"/>
          <w:szCs w:val="18"/>
          <w:color w:val="auto"/>
        </w:rPr>
        <w:t>” means, for a Placement, the time at which an acquiror of Placement Shares entered into a contract, binding upon such acquiror, to acquire such Placement Shares.</w:t>
      </w:r>
    </w:p>
    <w:p>
      <w:pPr>
        <w:spacing w:after="0" w:line="191" w:lineRule="exact"/>
        <w:rPr>
          <w:rFonts w:ascii="Times New Roman" w:cs="Times New Roman" w:eastAsia="Times New Roman" w:hAnsi="Times New Roman"/>
          <w:sz w:val="18"/>
          <w:szCs w:val="18"/>
          <w:color w:val="auto"/>
        </w:rPr>
      </w:pPr>
    </w:p>
    <w:p>
      <w:pPr>
        <w:jc w:val="both"/>
        <w:ind w:firstLine="656"/>
        <w:spacing w:after="0" w:line="254" w:lineRule="auto"/>
        <w:tabs>
          <w:tab w:leader="none" w:pos="8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Issuer Free Writing Prospectus conformed or will conform in all material respects to the requirements of the Securities Act on the date of first use, and the Company has complied or will comply with any filing requirements applicable to such Issuer Free Writing Prospectus pursuant to the Securities Act. Each Issuer Free Writing Prospectus, as of its issue date and at all subsequent times through the completion of the public offer and sale of the Placement Shares, did not, does not and will not include any information that conflicted, conflicts or will conflict with the information contained in the Registration Statement or the Prospectus, including any document incorporated by reference therein that has not been superseded or modified. The Company has not made any offer relating to the Placement Shares that would constitute an Issuer Free Writing Prospectus without the prior written consent of the Sales Agent. The Company has retained in accordance with the Securities Act all Issuer Free Writing Prospectuses that were not required to be filed pursuant to the Securities Act.</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91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incorporated or deemed to be incorporated by reference in the Registration Statement, the Prospectus or any amendment or supplement thereto, at the time they were or hereafter are filed with the Commission under the Exchange Act, complied and will comply in all material respects with the requirements of the Exchange Act, and, when read together with the other information in the Prospectus, at each Point of Sale and each Settlement Date,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656"/>
        <w:spacing w:after="0" w:line="261" w:lineRule="auto"/>
        <w:tabs>
          <w:tab w:leader="none" w:pos="89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the Registration Statement, the Prospectus, and all amendments or supplements thereto and all documents incorporated by reference therein that were filed with the Commission on or prior to the date of this Agreement, have been delivered, or are publicly available through EDGAR, to the Sales Agent. Each Prospectus delivered to the Sales Agent for use in connection with the sale of the Placement Shares pursuant to this Agreement will be identical to the version of such Prospectus filed with the Commission via EDGAR, except to the extent permitted by Regulation S-T.</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87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distributed and will not distribute, prior to the completion of the Sales Agent’s sale of the Placement Shares, any offering material in connection with the offering and sale of the Placement Shares other than the Prospectus or the Registration Statement.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52" w:lineRule="auto"/>
        <w:tabs>
          <w:tab w:leader="none" w:pos="90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reports, schedules, forms, statements and other documents required to be filed by the Company under the Securities Act and the Exchange Act, including pursuant to Section 13(a) or 15(d) thereof (the foregoing materials, including the exhibits thereto and documents incorporated by reference therein, together with the Registration Statement, the Prospectus and the ATM Prospectus, being collectively referred to herein as the “</w:t>
      </w:r>
      <w:r>
        <w:rPr>
          <w:rFonts w:ascii="Times New Roman" w:cs="Times New Roman" w:eastAsia="Times New Roman" w:hAnsi="Times New Roman"/>
          <w:sz w:val="18"/>
          <w:szCs w:val="18"/>
          <w:b w:val="1"/>
          <w:bCs w:val="1"/>
          <w:u w:val="single" w:color="auto"/>
          <w:color w:val="auto"/>
        </w:rPr>
        <w:t>SEC Reports</w:t>
      </w:r>
      <w:r>
        <w:rPr>
          <w:rFonts w:ascii="Times New Roman" w:cs="Times New Roman" w:eastAsia="Times New Roman" w:hAnsi="Times New Roman"/>
          <w:sz w:val="18"/>
          <w:szCs w:val="18"/>
          <w:color w:val="auto"/>
        </w:rPr>
        <w:t>”), neither the Company nor any of its subsidiaries has, since the date of the latest audited consolidated financial statements included in the Prospectus, (i) sustained any material loss or interference with its business from fire, explosion, flood or other calamity, whether or not covered by insurance, or from any labor dispute or court or governmental or regulatory action, order or decree, except where such loss or interference would not reasonably be expected to result, individually or in the aggregate, in a Material Adverse Effect (as defined below) or (ii) entered into any transaction or agreement (whether or not in the ordinary course of business) that is material to the Company and its subsidiaries taken as a whole or (iii) incurred any liability or obligation, direct or contingent, that is material to the Company and its subsidiaries taken as a whole; and, since the respective dates as of which information is given in the Registration Statement and the Prospectus, there has not been (x) any material change in the share capital (other than as a result of (A) the exercise, if any, of share options or the award, if any, of share options or restricted shares in the ordinary course of business pursuant to the Company’s equity plans that are described in each of the Prospectus or (B) the issuance, if any, of shares upon conversion of Company securities as described in each of the Prospectus) or long term debt of the Company or any of its subsidiaries (other than regular payments pursuant to obligations disclosed in or contemplated by the Prospectus) or (y) any Material Adverse Effect (as defined below); as used in this Agreement, “</w:t>
      </w:r>
      <w:r>
        <w:rPr>
          <w:rFonts w:ascii="Times New Roman" w:cs="Times New Roman" w:eastAsia="Times New Roman" w:hAnsi="Times New Roman"/>
          <w:sz w:val="18"/>
          <w:szCs w:val="18"/>
          <w:b w:val="1"/>
          <w:bCs w:val="1"/>
          <w:u w:val="single" w:color="auto"/>
          <w:color w:val="auto"/>
        </w:rPr>
        <w:t>Material Adverse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Effect</w:t>
      </w:r>
      <w:r>
        <w:rPr>
          <w:rFonts w:ascii="Times New Roman" w:cs="Times New Roman" w:eastAsia="Times New Roman" w:hAnsi="Times New Roman"/>
          <w:sz w:val="18"/>
          <w:szCs w:val="18"/>
          <w:color w:val="auto"/>
        </w:rPr>
        <w:t>” shall mean any material adverse change or effect, individually or in the aggregate, (I) on the condition (financial or otherwise), business, properties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results of operations of the Company and its subsidiaries, taken as a whole, or (II) the ability of the Company to perform its obligations under this Agreement, including the issuance and sale of the Placement Shares, or to consummate the transactions contemplated in the Prospectus.</w:t>
      </w:r>
    </w:p>
    <w:p>
      <w:pPr>
        <w:spacing w:after="0" w:line="193" w:lineRule="exact"/>
        <w:rPr>
          <w:rFonts w:ascii="Times New Roman" w:cs="Times New Roman" w:eastAsia="Times New Roman" w:hAnsi="Times New Roman"/>
          <w:sz w:val="18"/>
          <w:szCs w:val="18"/>
          <w:color w:val="auto"/>
        </w:rPr>
      </w:pPr>
    </w:p>
    <w:p>
      <w:pPr>
        <w:jc w:val="both"/>
        <w:ind w:firstLine="656"/>
        <w:spacing w:after="0" w:line="254" w:lineRule="auto"/>
        <w:tabs>
          <w:tab w:leader="none" w:pos="90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good and marketable title to all real properties, personal properties, and other assets reflected as owned in the financial statements referred to in Section 6(v) below that are material to the business of the Company and its subsidiaries and prepared in conformity with U.S. GAAP, in each case free and clear of all liens, encumbrances, claims, imperfections of title and defects except such as do not affect the value of such property and do not materially interfere with the use made and proposed to be made of such property by the Company and its subsidiaries or except where the failure to so own such real properties and personal properties in such manner would not individually or in the aggregate result in a Material Adverse Effect; and any real property and buildings held under lease by the Company and its subsidiaries are held by them under valid, subsisting and enforceable leases with such exceptions as are not material and do not materially interfere with the use made and proposed to be made of such property and buildings by the Company and its subsidiaries.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56"/>
        <w:spacing w:after="0" w:line="255" w:lineRule="auto"/>
        <w:tabs>
          <w:tab w:leader="none" w:pos="90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maintain insurance covering their respective properties, operations, personnel and businesses as the Company reasonably deems adequate; such insurance insures against such losses and risks to an extent which is adequate to protect the Company and its subsidiaries and their respective businesses; all such insurance is fully in force on the date hereof and will be fully in force at the time of purchase and each additional time of purchase, if any; neither the Company nor any of its subsidiaries has reason to believe that it will not be able to renew any such insurance as and when such insurance expires; and there is no material insurance claim made by or against the Company or any of its subsidiaries, pending, outstanding, or to the Company’s knowledge, threatened, and no facts or circumstances exist which would reasonably be expected to give rise to any such claim and all due premiums in respect thereof have been paid.</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86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been (i) duly incorporated or organized and is validly existing and in good standing (to the extent such concept is applicable) under the laws of its jurisdiction of incorporation or organization, with power and authority (corporate and other) to own or lease its properties and conduct its business as described in the Prospectus, and (ii) duly qualified as a foreign corporation for the transaction of business and is in good standing (to the extent such concept is applicable) under the laws of each other jurisdiction in which it owns or leases properties or conducts any business so as to require such qualification, except, in the case of this clause (ii), where the failure to be so qualified or in good standing would not, individually or in the aggregate, have a Material Adverse Effect; and each subsidiary of the Company has been listed in the Registration Statement; the Company does not own or control, directly or indirectly, any corporation, association or other entity other than the subsidiaries listed in Exhibit 8.1 to the Company’s Annual Report on Form 20-F for the most recently ended fiscal year other than (i) those subsidiaries not required to be listed on Exhibit 8.1 by Item 601 of Regulation S-K under the Exchange Act and (ii) those subsidiaries formed since the last day of the most recently ended fiscal year.</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9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dates indicated in the Registration Statement and the Prospectus, the Company has an authorized share capital as set forth in the Prospectus under the caption “Capitalization” and all of the issued share capital of the Company has been duly and validly authorized and issued and is fully paid and non-assessable and conform in all material respects to the description of the Company’s share capital contained in the Prospectus; and all of the issued share capital of each subsidiary of the Company have been duly and validly authorized and issued, are fully paid and non-assessable and are owned directly or indirectly by the Company, free and clear of all liens, encumbrances, equities or claims.</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87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the Registration Statement and any Rule 462(b) Registration Statement was or will be filed with the Commission, at the time the Registration Statement and any Rule 462(b) Registration Statement was or will be declared effective by the Commission, and at the time the Company’s most recent Annual Report on Form 20-F was filed with the Commission, the Company met or will meet the then applicable requirements for the use of Form F-3 under the Securities Act. As of the close of trading on the Exchange on January 6, 2026 the aggregate market value of the outstanding voting and non-voting common equity (as defined in Rule 405) of the Company held by persons other than affiliates of the Company (pursuant to Rule 144 of the Securities Act, those that directly, or indirectly through one or more intermediaries, control, or are controlled by, or are under common control with, the Company) (the “</w:t>
      </w:r>
      <w:r>
        <w:rPr>
          <w:rFonts w:ascii="Times New Roman" w:cs="Times New Roman" w:eastAsia="Times New Roman" w:hAnsi="Times New Roman"/>
          <w:sz w:val="18"/>
          <w:szCs w:val="18"/>
          <w:b w:val="1"/>
          <w:bCs w:val="1"/>
          <w:color w:val="auto"/>
        </w:rPr>
        <w:t>Non-Affiliate Shares</w:t>
      </w:r>
      <w:r>
        <w:rPr>
          <w:rFonts w:ascii="Times New Roman" w:cs="Times New Roman" w:eastAsia="Times New Roman" w:hAnsi="Times New Roman"/>
          <w:sz w:val="18"/>
          <w:szCs w:val="18"/>
          <w:color w:val="auto"/>
        </w:rPr>
        <w:t>”), was approximately $81,628,638 (calculated by multiplying (x) $2.10 (the price at which the Class A Ordinary Shares of the Company was last sold on the Exchange on January 6, 2026) by (y) 38,870,780 (the number of Non-Affiliate Shares outstanding on January 6, 2026)). The Company is not a shell company (as defined in Rule 405) and has not been a shell company for at least 12 calendar months previously and if it has been a shell company at any time previously, has filed current Form 10 information (as defined in Instruction I.B.5. of Form F-3) with the Commission at least 12 calendar months previously reflecting its status as an entity that is not a shell company.</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95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Placement Shares, when issued and paid for as contemplated herein and the Articles, and upon registration in the register of members of the Company, will be validly issued as fully paid and non-assessable, will be issued in compliance with all applicable foreign, federal and state securities laws, and will be free of preemptive, registration or similar rights, and will conform to the description of the Class A Ordinary Shares contained in the Registration Statement and the Prospectus.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656"/>
        <w:spacing w:after="0" w:line="252" w:lineRule="auto"/>
        <w:tabs>
          <w:tab w:leader="none" w:pos="90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offer and sale of the Placement Shares to be sold by the Company and the execution, delivery and performance by the Company of this Agreement and the consummation of the transactions contemplated in this Agreement and the Prospectus will not conflict with or result in a breach or violation of any of the terms or provisions of, or constitute a default under, (A) any indenture, mortgage, deed of trust, loan agreement, lease or other agreement or instrument to which the Company or any of its subsidiaries is a party or by which the Company or any of its subsidiaries is bound or to which any of the property or assets of the Company or any of its subsidiaries is subject, except, in the case of this clause (A)‎ for such defaults, breaches, or violations that would not, individually or in the aggregate, have a Material Adverse Effect, (B) the Articles (or other applicable organizational document) of the Company or any of its subsidiaries, or (C) any statute or any judgment, order, rule or regulation of any court or governmental or regulatory agency or body having jurisdiction over the Company or any of its subsidiaries or any of their properties, except in the case of this clause (C) for such defaults, breaches, or violations that would not, individually or in the aggregate, have a Material Adverse Effect; and no consent, approval, authorization, order, registration or qualification of or with any such court or governmental or regulatory agency or body is required for the issue of the Placement Shares to be sold by the Company and the sale of the Placement Shares or the consummation by the Company of the transactions contemplated by this Agreement, except (i) such as have been obtained, (ii) the approval by the Financial Industry Regulatory Authority (“</w:t>
      </w:r>
      <w:r>
        <w:rPr>
          <w:rFonts w:ascii="Times New Roman" w:cs="Times New Roman" w:eastAsia="Times New Roman" w:hAnsi="Times New Roman"/>
          <w:sz w:val="18"/>
          <w:szCs w:val="18"/>
          <w:b w:val="1"/>
          <w:bCs w:val="1"/>
          <w:u w:val="single" w:color="auto"/>
          <w:color w:val="auto"/>
        </w:rPr>
        <w:t>FINRA</w:t>
      </w:r>
      <w:r>
        <w:rPr>
          <w:rFonts w:ascii="Times New Roman" w:cs="Times New Roman" w:eastAsia="Times New Roman" w:hAnsi="Times New Roman"/>
          <w:sz w:val="18"/>
          <w:szCs w:val="18"/>
          <w:color w:val="auto"/>
        </w:rPr>
        <w:t>”) of the underwriting terms and arrangements, (iii) the notification of listing of additional issuance to the Exchange, which does not require the Exchange’s approval confirmation, (iv) such consents, approvals, authorizations, orders, registrations or qualifications as may be required under state securities or Blue Sky laws in connection with the purchase and distribution of the Placement Shares by the Sales Agent, (v) the filing with the Commission of the ATM Prospectus, (vi) the filing of a current report on Form 6-K with respect to the execution of this Agreement, and (vii) the filings required by this Agreement.</w:t>
      </w:r>
    </w:p>
    <w:p>
      <w:pPr>
        <w:spacing w:after="0" w:line="194" w:lineRule="exact"/>
        <w:rPr>
          <w:rFonts w:ascii="Times New Roman" w:cs="Times New Roman" w:eastAsia="Times New Roman" w:hAnsi="Times New Roman"/>
          <w:sz w:val="18"/>
          <w:szCs w:val="18"/>
          <w:color w:val="auto"/>
        </w:rPr>
      </w:pPr>
    </w:p>
    <w:p>
      <w:pPr>
        <w:jc w:val="both"/>
        <w:ind w:firstLine="656"/>
        <w:spacing w:after="0" w:line="255" w:lineRule="auto"/>
        <w:tabs>
          <w:tab w:leader="none" w:pos="90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(i) in violation of the Articles (or other applicable organizational document), (ii) in violation of any statute or any judgment, order, rule or regulation of any court or governmental or regulatory agency or body having jurisdiction over the Company or any of its subsidiaries or any of their properties, or (iii) in default (or with the giving of notice or lapse of time would be in default) in the performance or observance of any obligation, agreement, covenant or condition contained in any indenture, mortgage, deed of trust, loan agreement, lease or other agreement or instrument to which the Company or any of its subsidiaries is a party or by which the Company or any of its subsidiaries or any of their properties may be bound, except, in the case of the foregoing clauses (ii) and (iii), for such violations or defaults as would not, individually or in the aggregate, have a Material Adverse Effect.</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90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set forth in the Prospectus under the caption “Description of Share Capital,” insofar as they purport to constitute a summary of the terms of the Company’s share capital, and under the caption “Taxation,” insofar as they purport to describe the provisions of the laws and documents referred to therein, are accurate, complete and fair in all material respects.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been advised, and has no reason to believe, that it and each of its subsidiaries are not conducting business in compliance with all applicable laws, rules and regulations of the jurisdictions in which it is conducting business, except where failure to be so in compliance would not result in a Material Adverse Effect.</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90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actual or pending legal, governmental, regulatory or arbitral proceedings (including any inquiries or investigations by any governmental agency) pending to which the Company or any of its subsidiaries or, to the Company’s knowledge, any officer or director of the Company is a party or of which any property or assets of the Company or any of its subsidiaries or, to the Company’s knowledge, any officer or director of the Company is the subject which, if determined adversely to the Company or any of its subsidiaries (or such officer or director), would individually or in the aggregate have a Material Adverse Effect; and, to the Company’s knowledge, no such proceedings are threatened or contemplated by governmental, regulatory or arbitral agencies, authorities or bodies that would individually or in the aggregate have a Material Adverse Effect; and there are no statutes, regulations, contracts or other documents that are required to be described in each of the Registration Statement or the Prospectus or to be filed as exhibits to the Registration Statement that are not described or filed as required.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firstLine="656"/>
        <w:spacing w:after="0" w:line="282" w:lineRule="auto"/>
        <w:tabs>
          <w:tab w:leader="none" w:pos="88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Placement Shares as herein contemplated, will not be an “investment company”, as such term is defined in the Investment Company Act of 1940, as amended (the “</w:t>
      </w:r>
      <w:r>
        <w:rPr>
          <w:rFonts w:ascii="Times New Roman" w:cs="Times New Roman" w:eastAsia="Times New Roman" w:hAnsi="Times New Roman"/>
          <w:sz w:val="18"/>
          <w:szCs w:val="18"/>
          <w:b w:val="1"/>
          <w:bCs w:val="1"/>
          <w:u w:val="single" w:color="auto"/>
          <w:color w:val="auto"/>
        </w:rPr>
        <w:t>Investment Company Act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7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filing the Registration Statement and any post-effective amendment thereto, at the earliest time thereafter that the Company or any offering participant made a bona fide offer (within the meaning of Rule 164(h)(2) under the Securities Act) of the Placement Shares, and at the date hereof, the Company was not and is not an “ineligible issuer,” as defined in Rule 405 under the Securities Act.</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1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Assentsure and Marcum Asia CPAs LLP who have reviewed or audited, as applicable, the consolidated financial statements of the Company and its subsidiaries, incorporated by reference in the Registration Statement and the Prospectus, are each an independent registered public accounting firm as required by the Securities Act and the rules and regulations of the Commission thereunder whose registration has not been suspended or revoked and who have not requested such registration be withdrawn.</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90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filed with the Commission as a part of or otherwise incorporated by reference into the Registration Statement and the Prospectus, together with the related schedules and notes thereto, present fairly, in all material respects, the consolidated financial position of the Company and its subsidiaries as of the dates indicated and the results of their operations, changes in shareholders’ equity, and cash flows for the periods specified. Such financial statements have been prepared in conformity with generally accepted accounting principles, as applied in the United States (“</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applied on a consistent basis throughout the periods involved, except as may be expressly stated in the related notes thereto. No other financial statements (historical or pro forma) or supporting schedules are required to be included in or incorporated by reference into the Registration Statement or the Prospectus. The other financial data set forth in or incorporated by reference into each of the Registration Statement and the Prospectus fairly present, in all material respects, the information set forth therein on a basis consistent with that of the audited financial statements contained in the Registration Statement and the Prospectus. To the Company’s knowledge, no person who has been suspended or barred from being associated with a registered public accounting firm, or who has failed to comply with any sanction pursuant to Rule 5300 promulgated by the Public Accounting Company Oversight Board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has participated in or otherwise aided the preparation of, or audited, the financial statements, supporting schedules or other financial data filed with the Commission as a part of the Registration Statement and the Prospectus. The Company and its subsidiaries do not have any material off-balance liabilities or obligations, except as otherwise disclosed in the Prospectus.</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94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latest audited consolidated financial statements incorporated by reference in the Prospectus, there has been no change in the Company’s internal control over financial reporting that has materially affected, or is reasonably likely to materially affect, the Company’s internal control over financial reporting.</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3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material compliance with any and all applicable requirements of the Sarbanes-Oxley Act of 2002 and the rules and regulations promulgated in connection therewith (the “</w:t>
      </w:r>
      <w:r>
        <w:rPr>
          <w:rFonts w:ascii="Times New Roman" w:cs="Times New Roman" w:eastAsia="Times New Roman" w:hAnsi="Times New Roman"/>
          <w:sz w:val="18"/>
          <w:szCs w:val="18"/>
          <w:b w:val="1"/>
          <w:bCs w:val="1"/>
          <w:u w:val="single" w:color="auto"/>
          <w:color w:val="auto"/>
        </w:rPr>
        <w:t>Sarbanes-Oxley Act</w:t>
      </w:r>
      <w:r>
        <w:rPr>
          <w:rFonts w:ascii="Times New Roman" w:cs="Times New Roman" w:eastAsia="Times New Roman" w:hAnsi="Times New Roman"/>
          <w:sz w:val="18"/>
          <w:szCs w:val="18"/>
          <w:color w:val="auto"/>
        </w:rPr>
        <w:t>”) that are effective as of the date hereof, and any and all applicable rules and regulations promulgated by the Commission thereunder that are effective as of the date hereof.</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0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SEC Reports, 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except as disclosed in the Prospectus, such disclosure controls and procedures are effective.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56"/>
        <w:spacing w:after="0" w:line="256" w:lineRule="auto"/>
        <w:tabs>
          <w:tab w:leader="none" w:pos="8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 and constitutes a valid, legal, and binding obligation of the Company, enforceable against the Company in accordance with its terms, except as rights to indemnity hereunder may be limited by federal or state securities laws or public policy considerations in respect thereof and except as such enforceability may be limited by bankruptcy, insolvency, reorganization, moratorium or similar laws affecting the rights of creditors generally, and subject to general principles of equity. The Company has full corporate power and authority to enter into this Agreement and to authorize, issue and sell the Placement Shares as contemplated by this Agreement. The descriptions of this Agreement in the Registration Statement and the Prospectus conform in all material respects to the terms of the agreement hereof.</w:t>
      </w:r>
    </w:p>
    <w:p>
      <w:pPr>
        <w:spacing w:after="0" w:line="187" w:lineRule="exact"/>
        <w:rPr>
          <w:sz w:val="20"/>
          <w:szCs w:val="20"/>
          <w:color w:val="auto"/>
        </w:rPr>
      </w:pPr>
    </w:p>
    <w:p>
      <w:pPr>
        <w:jc w:val="both"/>
        <w:ind w:firstLine="656"/>
        <w:spacing w:after="0" w:line="253" w:lineRule="auto"/>
        <w:tabs>
          <w:tab w:leader="none" w:pos="97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its subsidiaries, or any director, officer nor, to the knowledge of the Company, any employee, agent, affiliate or other person associated with or acting on behalf of the Company or any of its subsidiaries has (1) taken or will take any action in furtherance of an offer, payment, promise to pay or authorization or approval of the payment or receipt of any unlawful contribution, gift, entertainment or other unlawful expense; or any direct or indirect unlawful payment; or (2) violated, is in violation of, or will violate any provision of the Foreign Corrupt Practices Act of 1977 (“</w:t>
      </w:r>
      <w:r>
        <w:rPr>
          <w:rFonts w:ascii="Times New Roman" w:cs="Times New Roman" w:eastAsia="Times New Roman" w:hAnsi="Times New Roman"/>
          <w:sz w:val="18"/>
          <w:szCs w:val="18"/>
          <w:b w:val="1"/>
          <w:bCs w:val="1"/>
          <w:u w:val="single" w:color="auto"/>
          <w:color w:val="auto"/>
        </w:rPr>
        <w:t>FCPA</w:t>
      </w:r>
      <w:r>
        <w:rPr>
          <w:rFonts w:ascii="Times New Roman" w:cs="Times New Roman" w:eastAsia="Times New Roman" w:hAnsi="Times New Roman"/>
          <w:sz w:val="18"/>
          <w:szCs w:val="18"/>
          <w:color w:val="auto"/>
        </w:rPr>
        <w:t>”), or any other applicable anti-bribery or anti-corruption law, or made any bribe, unlawful rebate, payoff, influence payment, kickback or other unlawful payment. The Company and its subsidiaries have conducted their businesses in compliance with applicable anti-corruption laws and have instituted and maintained policies and procedures reasonably designed to promote and achieve compliance with such laws. None of the Company or its subsidiaries will, directly or indirectly, use the proceeds of the sale of the Placement Shares, or lend, contribute or otherwise make available such proceeds to any subsidiary, affiliate, joint venture partner or other person or entity, for the purpose of financing or facilitating any activity that would violate any applicable anti-corruption law or regulation.</w:t>
      </w:r>
    </w:p>
    <w:p>
      <w:pPr>
        <w:spacing w:after="0" w:line="194" w:lineRule="exact"/>
        <w:rPr>
          <w:rFonts w:ascii="Times New Roman" w:cs="Times New Roman" w:eastAsia="Times New Roman" w:hAnsi="Times New Roman"/>
          <w:sz w:val="18"/>
          <w:szCs w:val="18"/>
          <w:color w:val="auto"/>
        </w:rPr>
      </w:pPr>
    </w:p>
    <w:p>
      <w:pPr>
        <w:jc w:val="both"/>
        <w:ind w:firstLine="656"/>
        <w:spacing w:after="0" w:line="254" w:lineRule="auto"/>
        <w:tabs>
          <w:tab w:leader="none" w:pos="102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its subsidiaries are and have been conducted at all times in compliance with the requirements of applicable anti-money laundering laws, including, but not limited to the applicable rules of the Bank Secrecy Act of 1970, as amended by the USA PATRIOT ACT of 2001, and the rules and regulations promulgated thereunder, to the extent applicable, as well as the applicable anti-money laundering laws of the various jurisdictions in which the Company and its subsidiaries conduct business, the rules and regulations thereunder and any applicable related or similar rules, regulations or guidelines, issued, administered or enforced by any governmental agency having jurisdiction over the Company or any of its subsidiaries (collectively, the “</w:t>
      </w:r>
      <w:r>
        <w:rPr>
          <w:rFonts w:ascii="Times New Roman" w:cs="Times New Roman" w:eastAsia="Times New Roman" w:hAnsi="Times New Roman"/>
          <w:sz w:val="18"/>
          <w:szCs w:val="18"/>
          <w:b w:val="1"/>
          <w:bCs w:val="1"/>
          <w:u w:val="single" w:color="auto"/>
          <w:color w:val="auto"/>
        </w:rPr>
        <w:t>Money Laundering Laws</w:t>
      </w:r>
      <w:r>
        <w:rPr>
          <w:rFonts w:ascii="Times New Roman" w:cs="Times New Roman" w:eastAsia="Times New Roman" w:hAnsi="Times New Roman"/>
          <w:sz w:val="18"/>
          <w:szCs w:val="18"/>
          <w:color w:val="auto"/>
        </w:rPr>
        <w:t>”), and no action, suit or proceeding by or before any court or governmental or regulatory agency, authority or body or any arbitrator involving the Company or any of its subsidiaries with respect to the Money Laundering Laws is pending or, to the knowledge of the Company, threatened.</w:t>
      </w:r>
    </w:p>
    <w:p>
      <w:pPr>
        <w:spacing w:after="0" w:line="191" w:lineRule="exact"/>
        <w:rPr>
          <w:rFonts w:ascii="Times New Roman" w:cs="Times New Roman" w:eastAsia="Times New Roman" w:hAnsi="Times New Roman"/>
          <w:sz w:val="18"/>
          <w:szCs w:val="18"/>
          <w:color w:val="auto"/>
        </w:rPr>
      </w:pPr>
    </w:p>
    <w:p>
      <w:pPr>
        <w:jc w:val="both"/>
        <w:ind w:firstLine="656"/>
        <w:spacing w:after="0" w:line="267" w:lineRule="auto"/>
        <w:tabs>
          <w:tab w:leader="none" w:pos="975"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Company or any of its subsidiaries or any director or officer thereof, nor, to the knowledge of the Company, any employee, agent or affiliate or other person associated with or acting on behalf of the Company or any of its subsidiaries, is an individual or entity (“</w:t>
      </w:r>
      <w:r>
        <w:rPr>
          <w:rFonts w:ascii="Times New Roman" w:cs="Times New Roman" w:eastAsia="Times New Roman" w:hAnsi="Times New Roman"/>
          <w:sz w:val="17"/>
          <w:szCs w:val="17"/>
          <w:b w:val="1"/>
          <w:bCs w:val="1"/>
          <w:u w:val="single" w:color="auto"/>
          <w:color w:val="auto"/>
        </w:rPr>
        <w:t>Person</w:t>
      </w:r>
      <w:r>
        <w:rPr>
          <w:rFonts w:ascii="Times New Roman" w:cs="Times New Roman" w:eastAsia="Times New Roman" w:hAnsi="Times New Roman"/>
          <w:sz w:val="17"/>
          <w:szCs w:val="17"/>
          <w:color w:val="auto"/>
        </w:rPr>
        <w:t>”) that is, or is owned or controlled by one or more Persons that are, currently (1) the subject or the target of any sanctions administered or enforced by the U.S. government, including, without limitation, the Office of Foreign Assets Control of the U.S. Department of the Treasury (“</w:t>
      </w:r>
      <w:r>
        <w:rPr>
          <w:rFonts w:ascii="Times New Roman" w:cs="Times New Roman" w:eastAsia="Times New Roman" w:hAnsi="Times New Roman"/>
          <w:sz w:val="17"/>
          <w:szCs w:val="17"/>
          <w:b w:val="1"/>
          <w:bCs w:val="1"/>
          <w:u w:val="single" w:color="auto"/>
          <w:color w:val="auto"/>
        </w:rPr>
        <w:t>OFAC</w:t>
      </w:r>
      <w:r>
        <w:rPr>
          <w:rFonts w:ascii="Times New Roman" w:cs="Times New Roman" w:eastAsia="Times New Roman" w:hAnsi="Times New Roman"/>
          <w:sz w:val="17"/>
          <w:szCs w:val="17"/>
          <w:color w:val="auto"/>
        </w:rPr>
        <w:t>”), the Bureau of Industry and Security (“</w:t>
      </w:r>
      <w:r>
        <w:rPr>
          <w:rFonts w:ascii="Times New Roman" w:cs="Times New Roman" w:eastAsia="Times New Roman" w:hAnsi="Times New Roman"/>
          <w:sz w:val="17"/>
          <w:szCs w:val="17"/>
          <w:b w:val="1"/>
          <w:bCs w:val="1"/>
          <w:u w:val="single" w:color="auto"/>
          <w:color w:val="auto"/>
        </w:rPr>
        <w:t>BIS</w:t>
      </w:r>
      <w:r>
        <w:rPr>
          <w:rFonts w:ascii="Times New Roman" w:cs="Times New Roman" w:eastAsia="Times New Roman" w:hAnsi="Times New Roman"/>
          <w:sz w:val="17"/>
          <w:szCs w:val="17"/>
          <w:color w:val="auto"/>
        </w:rPr>
        <w:t>”), or the U.S. Department of State and including, without limitation, the designation as a “specially designated national” or “blocked person,” the European Union, His Majesty’s Treasury, the United Nations Security Council, or other relevant sanctions authority (collectively, “</w:t>
      </w:r>
      <w:r>
        <w:rPr>
          <w:rFonts w:ascii="Times New Roman" w:cs="Times New Roman" w:eastAsia="Times New Roman" w:hAnsi="Times New Roman"/>
          <w:sz w:val="17"/>
          <w:szCs w:val="17"/>
          <w:b w:val="1"/>
          <w:bCs w:val="1"/>
          <w:u w:val="single" w:color="auto"/>
          <w:color w:val="auto"/>
        </w:rPr>
        <w:t>Sanctions</w:t>
      </w:r>
      <w:r>
        <w:rPr>
          <w:rFonts w:ascii="Times New Roman" w:cs="Times New Roman" w:eastAsia="Times New Roman" w:hAnsi="Times New Roman"/>
          <w:sz w:val="17"/>
          <w:szCs w:val="17"/>
          <w:color w:val="auto"/>
        </w:rPr>
        <w:t>”), or (2) otherwise named on any restricted parties list administered by such authorities, including the Denied Persons List or Entity List, or (3) located, organized or resident in, a country or territory that is the subject of Sanctions (currently, Cuba, Iran, North Korea, Syria, and the Crimea region of Ukraine), and (b) the Company will not, and will not permit subsidiaries to, directly or indirectly, use all or part of the proceeds of the offering of the Placement Shares hereunder, or lend, contribute or otherwise make available such proceeds to any subsidiary, joint venture, partner or other person or entity</w:t>
      </w:r>
    </w:p>
    <w:p>
      <w:pPr>
        <w:spacing w:after="0" w:line="3" w:lineRule="exact"/>
        <w:rPr>
          <w:rFonts w:ascii="Times New Roman" w:cs="Times New Roman" w:eastAsia="Times New Roman" w:hAnsi="Times New Roman"/>
          <w:sz w:val="17"/>
          <w:szCs w:val="17"/>
          <w:color w:val="auto"/>
        </w:rPr>
      </w:pPr>
    </w:p>
    <w:p>
      <w:pPr>
        <w:jc w:val="both"/>
        <w:ind w:firstLine="8"/>
        <w:spacing w:after="0" w:line="270" w:lineRule="auto"/>
        <w:tabs>
          <w:tab w:leader="none" w:pos="266"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fund or facilitate any activities of or business with any person, or in any country or territory, that, at the time of such funding, is the subject or the target of Sanctions or (y) in any other manner that will result in a violation by any person (including any person participating in the transaction, whether as underwriter, advisor, investor or otherwise) of Sanctions or applicable export control laws and regulations administered by BIS or other relevant authorities, including the Export Administration Regulations (collectively, “</w:t>
      </w:r>
      <w:r>
        <w:rPr>
          <w:rFonts w:ascii="Times New Roman" w:cs="Times New Roman" w:eastAsia="Times New Roman" w:hAnsi="Times New Roman"/>
          <w:sz w:val="17"/>
          <w:szCs w:val="17"/>
          <w:b w:val="1"/>
          <w:bCs w:val="1"/>
          <w:u w:val="single" w:color="auto"/>
          <w:color w:val="auto"/>
        </w:rPr>
        <w:t>Export Controls</w:t>
      </w:r>
      <w:r>
        <w:rPr>
          <w:rFonts w:ascii="Times New Roman" w:cs="Times New Roman" w:eastAsia="Times New Roman" w:hAnsi="Times New Roman"/>
          <w:sz w:val="17"/>
          <w:szCs w:val="17"/>
          <w:color w:val="auto"/>
        </w:rPr>
        <w:t>”). The Company and its subsidiaries have not knowingly engaged in, are not now knowingly engaged in, and will not knowingly engage in, any dealings or transactions with any person or entity, or in any country or territory, that at the time of the dealing or transaction is or was the subject of Sanctions or Export Controls or would violate Sanctions or Export Controls.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left="1000" w:hanging="344"/>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“foreign private issuer” as defined in Rule 405 under the Securities Act.</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4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dividends and other distributions declared and payable on the Class A Ordinary Shares may, under current U.S. law and regulations, be paid to the holders of Class A Ordinary Shares in US Dollars and may be converted into foreign currency that may be transferred out of the U.S.</w:t>
      </w:r>
    </w:p>
    <w:p>
      <w:pPr>
        <w:spacing w:after="0" w:line="162" w:lineRule="exact"/>
        <w:rPr>
          <w:sz w:val="20"/>
          <w:szCs w:val="20"/>
          <w:color w:val="auto"/>
        </w:rPr>
      </w:pPr>
    </w:p>
    <w:p>
      <w:pPr>
        <w:jc w:val="both"/>
        <w:ind w:firstLine="656"/>
        <w:spacing w:after="0" w:line="261" w:lineRule="auto"/>
        <w:tabs>
          <w:tab w:leader="none" w:pos="94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the manner in which the Company currently operates its business, management’s estimates of the Company’s gross income and assets for the current taxable year, the Company’s business plans and the Company’s current interpretation of the “passive foreign investment company” (“</w:t>
      </w:r>
      <w:r>
        <w:rPr>
          <w:rFonts w:ascii="Times New Roman" w:cs="Times New Roman" w:eastAsia="Times New Roman" w:hAnsi="Times New Roman"/>
          <w:sz w:val="18"/>
          <w:szCs w:val="18"/>
          <w:b w:val="1"/>
          <w:bCs w:val="1"/>
          <w:u w:val="single" w:color="auto"/>
          <w:color w:val="auto"/>
        </w:rPr>
        <w:t>PFIC</w:t>
      </w:r>
      <w:r>
        <w:rPr>
          <w:rFonts w:ascii="Times New Roman" w:cs="Times New Roman" w:eastAsia="Times New Roman" w:hAnsi="Times New Roman"/>
          <w:sz w:val="18"/>
          <w:szCs w:val="18"/>
          <w:color w:val="auto"/>
        </w:rPr>
        <w:t>”) provisions in the U.S. Internal Revenue Code of 1986, as amended (the “</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and the Treasury regulations promulgated thereunder, the Company does not believe that it will be treated as a PFIC as defined in Section 1297 of the Code for the current taxable year or for the foreseeable future.</w:t>
      </w:r>
    </w:p>
    <w:p>
      <w:pPr>
        <w:spacing w:after="0" w:line="179" w:lineRule="exact"/>
        <w:rPr>
          <w:rFonts w:ascii="Times New Roman" w:cs="Times New Roman" w:eastAsia="Times New Roman" w:hAnsi="Times New Roman"/>
          <w:sz w:val="18"/>
          <w:szCs w:val="18"/>
          <w:color w:val="auto"/>
        </w:rPr>
      </w:pPr>
    </w:p>
    <w:p>
      <w:pPr>
        <w:jc w:val="both"/>
        <w:ind w:firstLine="656"/>
        <w:spacing w:after="0" w:line="252" w:lineRule="auto"/>
        <w:tabs>
          <w:tab w:leader="none" w:pos="100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and its subsidiaries own or possess sufficient rights to use all patents, patent rights, licenses, inventions, copyrights, know how (including trade secrets and other unpatented and/or unpatentable proprietary or confidential information, systems or procedures), trademarks, service marks, trade names and other intellectual property (collectively, “</w:t>
      </w:r>
      <w:r>
        <w:rPr>
          <w:rFonts w:ascii="Times New Roman" w:cs="Times New Roman" w:eastAsia="Times New Roman" w:hAnsi="Times New Roman"/>
          <w:sz w:val="18"/>
          <w:szCs w:val="18"/>
          <w:b w:val="1"/>
          <w:bCs w:val="1"/>
          <w:u w:val="single" w:color="auto"/>
          <w:color w:val="auto"/>
        </w:rPr>
        <w:t>Intellectual Property</w:t>
      </w:r>
      <w:r>
        <w:rPr>
          <w:rFonts w:ascii="Times New Roman" w:cs="Times New Roman" w:eastAsia="Times New Roman" w:hAnsi="Times New Roman"/>
          <w:sz w:val="18"/>
          <w:szCs w:val="18"/>
          <w:color w:val="auto"/>
        </w:rPr>
        <w:t>”) used in, held for use in or necessary for the conduct of the business now operated by them, except where the failure to own or possess any of the foregoing would not, individually or in the aggregate, reasonably be expected to have a Material Adverse Effect; (ii) neither the Company nor any of its subsidiaries has received any written notice or claim alleging any infringement, misappropriation, violation of or conflict with any such rights of others, except in each case as would not, individually or in the aggregate, reasonably be expected to have a Material Adverse Effect; and (iii) except as would not, individually or in the aggregate, reasonably be expected to have a Material Adverse Effect, there is no pending or, to the Company’s knowledge, threatened action, suit, proceeding or claim by any party challenging the validity, scope, enforceability or ownership of any Intellectual Property owned by the Company or its subsidiaries, and all Intellectual Property owned by the Company or its subsidiaries is owned solely by the Company or its subsidiaries, is valid and enforceable, and is owned free and clear of all liens, encumbrances, defects or other restrictions, except for such liens, encumbrances, defects or other restrictions that would not, individually or in the aggregate, reasonably be expected to have a Material Adverse Effect. The Company and its subsidiaries have taken reasonable steps in accordance with normal industry practice to maintain the confidentiality of all material trade secrets and confidential information owned, used or held for use by the Company or any of its subsidiaries.</w:t>
      </w:r>
    </w:p>
    <w:p>
      <w:pPr>
        <w:spacing w:after="0" w:line="197" w:lineRule="exact"/>
        <w:rPr>
          <w:rFonts w:ascii="Times New Roman" w:cs="Times New Roman" w:eastAsia="Times New Roman" w:hAnsi="Times New Roman"/>
          <w:sz w:val="18"/>
          <w:szCs w:val="18"/>
          <w:color w:val="auto"/>
        </w:rPr>
      </w:pPr>
    </w:p>
    <w:p>
      <w:pPr>
        <w:jc w:val="both"/>
        <w:ind w:firstLine="656"/>
        <w:spacing w:after="0" w:line="256" w:lineRule="auto"/>
        <w:tabs>
          <w:tab w:leader="none" w:pos="101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complied in all material respects with their respective privacy policies and other legal obligations regarding the collection, use, transfer, storage, protection, disposal and disclosure by the Company and its subsidiaries of personal and user information gathered or accessed in the course of their respective operations, and with respect to all such information, the Company and its subsidiaries have taken the steps reasonably necessary to protect such information against loss and against unauthorized access, use, modification, disclosure or other misuse, and, to the knowledge of the Company, there has been no unauthorized access to or other misuse of such information that would, individually or in the aggregate, reasonably be expected to have a Material Adverse Effect.</w:t>
      </w:r>
    </w:p>
    <w:p>
      <w:pPr>
        <w:spacing w:after="0" w:line="187" w:lineRule="exact"/>
        <w:rPr>
          <w:rFonts w:ascii="Times New Roman" w:cs="Times New Roman" w:eastAsia="Times New Roman" w:hAnsi="Times New Roman"/>
          <w:sz w:val="18"/>
          <w:szCs w:val="18"/>
          <w:color w:val="auto"/>
        </w:rPr>
      </w:pPr>
    </w:p>
    <w:p>
      <w:pPr>
        <w:jc w:val="both"/>
        <w:ind w:firstLine="656"/>
        <w:spacing w:after="0" w:line="254" w:lineRule="auto"/>
        <w:tabs>
          <w:tab w:leader="none" w:pos="93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have received all applicable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have a Material Adverse Effect.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individually or in the aggregate, have a Material Adverse Effect.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left="920" w:hanging="264"/>
        <w:spacing w:after="0"/>
        <w:tabs>
          <w:tab w:leader="none" w:pos="9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(A) except as would not, individually or in the aggregate, reasonably be expected to have a Material Adverse Effect,</w:t>
      </w:r>
    </w:p>
    <w:p>
      <w:pPr>
        <w:spacing w:after="0" w:line="27" w:lineRule="exact"/>
        <w:rPr>
          <w:rFonts w:ascii="Times New Roman" w:cs="Times New Roman" w:eastAsia="Times New Roman" w:hAnsi="Times New Roman"/>
          <w:sz w:val="18"/>
          <w:szCs w:val="18"/>
          <w:color w:val="auto"/>
        </w:rPr>
      </w:pPr>
    </w:p>
    <w:p>
      <w:pPr>
        <w:jc w:val="both"/>
        <w:ind w:firstLine="8"/>
        <w:spacing w:after="0" w:line="251" w:lineRule="auto"/>
        <w:tabs>
          <w:tab w:leader="none" w:pos="22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each employee benefit plan (each, a “</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color w:val="auto"/>
        </w:rPr>
        <w:t>”), within the meaning of Section 3(3) of the Employee Retirement Income Security Act of 1974, as amended (“</w:t>
      </w:r>
      <w:r>
        <w:rPr>
          <w:rFonts w:ascii="Times New Roman" w:cs="Times New Roman" w:eastAsia="Times New Roman" w:hAnsi="Times New Roman"/>
          <w:sz w:val="18"/>
          <w:szCs w:val="18"/>
          <w:b w:val="1"/>
          <w:bCs w:val="1"/>
          <w:u w:val="single" w:color="auto"/>
          <w:color w:val="auto"/>
        </w:rPr>
        <w:t>ERISA</w:t>
      </w:r>
      <w:r>
        <w:rPr>
          <w:rFonts w:ascii="Times New Roman" w:cs="Times New Roman" w:eastAsia="Times New Roman" w:hAnsi="Times New Roman"/>
          <w:sz w:val="18"/>
          <w:szCs w:val="18"/>
          <w:color w:val="auto"/>
        </w:rPr>
        <w:t>”), for which the Company would have any liability,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(iii) the fair market value of the assets of each Plan subject to Title IV of ERISA exceeds the present value of all benefits accrued under such Plan (determined based on those assumptions used to fund such Plan); (iv) no “reportable event” (within the meaning of Section 4043(c) of ERISA) has occurred or is reasonably expected to occur with respect to any Plan subject to Title IV of ERISA; (v) neither the Company nor any member of its “controlled group” (within the meaning of Section 4001(a)(14) of ERISA) has incurred, nor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4001(a)(3) of ERISA); and (B)(i) for each Plan that is subject to the funding rules of Section 412 of the Code or Section 302 of ERISA, the minimum funding standard of Section 412 of the Code or Section 302 of ERISA, as applicable, has been satisfied (without taking into account any waiver thereof or extension of any amortization period) and reasonably expected to be satisfied in the future (without taking into account any waiver thereof or extension of any amortization period) and (ii) there is no pending audit, or to the knowledge of the Company investigation, by the Internal Revenue Service, the U.S. Department of Labor, the Pension Benefit Guaranty Corporation or any other governmental agency or any foreign regulatory agency with respect to any Plan that could reasonably be expected to result in material liability to the Company or its subsidiaries.</w:t>
      </w:r>
    </w:p>
    <w:p>
      <w:pPr>
        <w:spacing w:after="0" w:line="190" w:lineRule="exact"/>
        <w:rPr>
          <w:rFonts w:ascii="Times New Roman" w:cs="Times New Roman" w:eastAsia="Times New Roman" w:hAnsi="Times New Roman"/>
          <w:sz w:val="18"/>
          <w:szCs w:val="18"/>
          <w:color w:val="auto"/>
        </w:rPr>
      </w:pPr>
    </w:p>
    <w:p>
      <w:pPr>
        <w:jc w:val="both"/>
        <w:ind w:firstLine="656"/>
        <w:spacing w:after="0" w:line="254" w:lineRule="auto"/>
        <w:tabs>
          <w:tab w:leader="none" w:pos="999"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and its subsidiaries possess and are in compliance with all licenses, permits, certificates and other authorizations from, and have made all declarations and filings with, all governmental and regulatory authorities, required or necessary to own or lease, as the case may be, and to operate their respective properties and to carry on their respective businesses as now or proposed to be conducted as set forth in the Prospectus (“</w:t>
      </w:r>
      <w:r>
        <w:rPr>
          <w:rFonts w:ascii="Times New Roman" w:cs="Times New Roman" w:eastAsia="Times New Roman" w:hAnsi="Times New Roman"/>
          <w:sz w:val="18"/>
          <w:szCs w:val="18"/>
          <w:b w:val="1"/>
          <w:bCs w:val="1"/>
          <w:u w:val="single" w:color="auto"/>
          <w:color w:val="auto"/>
        </w:rPr>
        <w:t>Permits</w:t>
      </w:r>
      <w:r>
        <w:rPr>
          <w:rFonts w:ascii="Times New Roman" w:cs="Times New Roman" w:eastAsia="Times New Roman" w:hAnsi="Times New Roman"/>
          <w:sz w:val="18"/>
          <w:szCs w:val="18"/>
          <w:color w:val="auto"/>
        </w:rPr>
        <w:t>”), except where the failure to obtain or to be in compliance with such Permits would not, individually or in the aggregate, have a Material Adverse Effect; (ii) the Company and its subsidiaries have fulfilled and performed all of their respective obligations with respect to such Permits and no event has occurred which allows, or after notice or lapse of time would allow, revocation or termination thereof or results in any other impairment of the rights of the holder of any such Permit except, in each case, as would not, individually or in the aggregate, have a Material Adverse Effect; and (iii) neither the Company nor any of its subsidiaries has any reason to believe that any such Permit will not be renewed in the ordinary course, except where such failure to renew would not individually or in the aggregate result in a Material Adverse Effect;</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9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has the right to require the Company or any of its subsidiaries to register any securities for sale under the Securities Act by reason of the filing of the Registration Statement with the Commission, or the issuance and sale of the Placement Shares.</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109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filed all tax returns required to be filed through the date of this Agreement or have requested extensions thereof (except, in each case, where the failure to file would not, individually or in the aggregate, have a Material Adverse Effect) and have paid all taxes required to be paid thereon (except for cases in which the failure to pay would not, individually or in the aggregate, have a Material Adverse Effect or, except as currently being contested in good faith and for which reserves required by U.S. GAAP have been created in the financial statements of the Company); and no unpaid tax deficiency has been determined adversely to the Company or any of its subsidiaries which has had a Material Adverse Effect, nor does the Company or any of its subsidiaries have notice or knowledge of any unpaid tax deficiency which is reasonably expected to be determined adversely to the Company or any of its subsidiaries and which would reasonably be expected to have a Material Adverse Effect.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firstLine="656"/>
        <w:spacing w:after="0" w:line="282" w:lineRule="auto"/>
        <w:tabs>
          <w:tab w:leader="none" w:pos="99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taken as a whole are insured by insurers of recognized financial responsibility against such losses and risks and in such amounts as are ordinary and customary in the businesses in which they are engaged.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01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relationship, direct or indirect, exists between or among the Company or any of its subsidiaries, on the one hand, and the directors, officers, shareholders, or other affiliates of the Company or any of its subsidiaries, on the other hand, that is required by the Securities Act to be described in each of the Registration Statement or the Prospectus and that is not so described in such documents.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0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taken, directly or indirectly, (without giving any effect to the activities of the Sales Agent) any action designed to or that would constitute or that might reasonably be expected to cause or result in, under the Exchange Act, or otherwise, stabilization or manipulation of the price of any security of the Company to facilitate the sale or resale of the Placement Shares.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1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market and statistical information provided in the Prospectus are based on or furnished by sources that the Company in good faith believes to be reliable and accurate in all material respects and, to the extent required, the Company has obtained written consent for the use of such data from such sources.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94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forward-looking statement (within the meaning of Section 27A of the Securities Act and Section 21E of the Exchange Act) contained in the Prospectus has been made or reaffirmed without a reasonable basis or has been disclosed other than in good faith.</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contracts, agreements or understandings between the Company and any person (other than this Agreement and the Engagement Letter (as defined below)) that would give rise to a valid claim against the Company or the Sales Agent for a broker’s commission, finder’s fee or other like payment in connection with the issuance and sale of the Placement Shares to the Sales Agent.</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2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SEC Reports, the Company has not sold, issued or distributed any Class A Ordinary Shares during the six-month period preceding the date hereof, including any sales pursuant to Rule 144A under, or Regulation D or S of, the Securities Act, other than shares issued pursuant to employee benefit plans, qualified share option plans or other employee compensation plans or pursuant to outstanding options, rights or warrants.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9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reason to believe that the indemnification provisions set forth in Section 9‎ hereof contravene laws, regulations or public policy of the Cayman Islands.</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100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for any net income, capital gains or franchise taxes imposed on the Sales Agent, no stamp or other issuance of transfer taxes or duties and no capital gains, income or other taxes are payable by or on behalf of the Sales Agent, or otherwise imposed on any payments made to the Sales Agent, to any authority in the People’s Republic of China (the “</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for the avoidance of doubt, the PRC does not include the Hong Kong Special Administrative Region (“</w:t>
      </w:r>
      <w:r>
        <w:rPr>
          <w:rFonts w:ascii="Times New Roman" w:cs="Times New Roman" w:eastAsia="Times New Roman" w:hAnsi="Times New Roman"/>
          <w:sz w:val="18"/>
          <w:szCs w:val="18"/>
          <w:b w:val="1"/>
          <w:bCs w:val="1"/>
          <w:color w:val="auto"/>
        </w:rPr>
        <w:t>Hong Kong</w:t>
      </w:r>
      <w:r>
        <w:rPr>
          <w:rFonts w:ascii="Times New Roman" w:cs="Times New Roman" w:eastAsia="Times New Roman" w:hAnsi="Times New Roman"/>
          <w:sz w:val="18"/>
          <w:szCs w:val="18"/>
          <w:color w:val="auto"/>
        </w:rPr>
        <w:t>”), the Macau Special Administrative Region or Taiwan), or any political subdivision or taxing authority thereof in connection with the (i) execution, delivery or performance by the Company of this Agreement or (ii) the initial issue and sale of the Placement Shares by the Sales Agent to the initial purchasers hereof, including the execution and performance of the contractual arrangements among the Company’s wholly foreign-owned enterprise (“</w:t>
      </w:r>
      <w:r>
        <w:rPr>
          <w:rFonts w:ascii="Times New Roman" w:cs="Times New Roman" w:eastAsia="Times New Roman" w:hAnsi="Times New Roman"/>
          <w:sz w:val="18"/>
          <w:szCs w:val="18"/>
          <w:b w:val="1"/>
          <w:bCs w:val="1"/>
          <w:color w:val="auto"/>
        </w:rPr>
        <w:t>WFOE</w:t>
      </w:r>
      <w:r>
        <w:rPr>
          <w:rFonts w:ascii="Times New Roman" w:cs="Times New Roman" w:eastAsia="Times New Roman" w:hAnsi="Times New Roman"/>
          <w:sz w:val="18"/>
          <w:szCs w:val="18"/>
          <w:color w:val="auto"/>
        </w:rPr>
        <w:t>”) and the variable interest entity (“</w:t>
      </w:r>
      <w:r>
        <w:rPr>
          <w:rFonts w:ascii="Times New Roman" w:cs="Times New Roman" w:eastAsia="Times New Roman" w:hAnsi="Times New Roman"/>
          <w:sz w:val="18"/>
          <w:szCs w:val="18"/>
          <w:b w:val="1"/>
          <w:bCs w:val="1"/>
          <w:color w:val="auto"/>
        </w:rPr>
        <w:t>VIE</w:t>
      </w:r>
      <w:r>
        <w:rPr>
          <w:rFonts w:ascii="Times New Roman" w:cs="Times New Roman" w:eastAsia="Times New Roman" w:hAnsi="Times New Roman"/>
          <w:sz w:val="18"/>
          <w:szCs w:val="18"/>
          <w:color w:val="auto"/>
        </w:rPr>
        <w:t>”) and its shareholders that comprise the Company’s VIE structure, save that stamp duty may be payable if this Agreement is brought to or executed in the Cayman Islands.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656"/>
        <w:spacing w:after="0" w:line="261" w:lineRule="auto"/>
        <w:tabs>
          <w:tab w:leader="none" w:pos="108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necessary under the laws of the Cayman Islands that the Sales Agent be licensed, qualified or entitled to carry on business in the Cayman Islands to enable the Sales Agent to enforce its respective rights under this Agreement or the performance of the terms and conditions of this Agreement outside of the Cayman Islands. The Sales Agent will not be deemed resident, domiciled, to be carrying on business or subject to taxation in the Cayman Islands solely by reason of the negotiation, preparation, execution, delivery or enforcement of this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99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there is no statutory enforcement in the Cayman Islands of judgments or orders obtained in foreign courts (other than certain courts of Australia and its external territories for which statutory enforcement may be sought pursuant to the Foreign Judgments Reciprocal Enforcement Law (1996 Revision)), the courts of the Cayman Islands will recognize and enforce a foreign judgment or order, without re-examination or re-litigation of the matters adjudicated upon, if the judgment or order: (a) is given by a foreign court of competent jurisdiction; (b) is final and conclusive; (c) is not in respect of a tax, fine or other penalty; (d) was not obtained by fraud; and (e) is not of a kind, the enforcement of which is contrary to public policy in the Cayman Islands. The courts of the Cayman Islands will apply the rules of Cayman Islands private international law to determine whether the foreign court is a court of competent jurisdiction. Subject to these limitations, the courts of the Cayman Islands will recognize and enforce a foreign judgment for a liquidated sum and may also give effect in the Cayman Islands to other kinds of foreign judgments, such as declaratory orders, orders for performance of contracts and injunctions.</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101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or their properties or assets has immunity under the laws of the Cayman Islands, or U.S. federal or New York state law from any legal action, suit or proceeding, from the giving of any relief in any such legal action, suit or proceeding, from set-off or counterclaim, from the jurisdiction of the courts of the Cayman Islands, or the U.S. federal or New York state court, from service of process, attachment upon or prior to judgment, or attachment in aid of execution of judgment, or from execution of a judgment, or other legal process or proceeding for the giving of any relief or for the enforcement of a judgment, in any such court with respect to their respective obligations, liabilities or any other matter under or arising out of or in connection herewith; and, to the extent that the Company or any of its subsidiaries or any of their properties, assets or revenues may have or may hereafter become entitled to any such right of immunity in any such court in which proceedings arising out of, or relating to the transactions contemplated by this Agreement, may at any time be commenced, the Company has, pursuant to Section 22‎ of this Agreement, waived, and it will waive, or will cause its subsidiaries to waive, such right to the extent permitted by law.</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97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choice of laws of the State of New York as the governing law of the Agreement, which has been made in good faith and will be upheld by each New York state and United States federal court sitting in the City of New York, is a valid choice of law under the laws of the Cayman Islands (to the extent such jurisdiction is applicable for purposes of this Agreement) and will be recognized and given effect by the courts of the Cayman Islands (to the extent such jurisdiction is applicable for purposes of this Agreement), except that the courts of the Cayman Islands will not recognize the State of New York as the governing law of the Agreement (the “Proper Law”) to the extent that such choice of governing law would be incompatible with the public policy of Cayman Islands law; and in any action brough in respect of the Agreement in the courts of the Cayman Islands, those courts will not apply the Poper Law unless that law is pleaded and proved in the courts of the Cayman Islands, nor will they apply that law: (i) to matters of procedure; and (ii) to the extent the application of the Proper Law would be incompatible with the public policy of the Cayman Islands or contrary to mandatorily-applicable provisions of Cayman Islands law.</w:t>
      </w:r>
    </w:p>
    <w:p>
      <w:pPr>
        <w:spacing w:after="0" w:line="188" w:lineRule="exact"/>
        <w:rPr>
          <w:sz w:val="20"/>
          <w:szCs w:val="20"/>
          <w:color w:val="auto"/>
        </w:rPr>
      </w:pPr>
    </w:p>
    <w:p>
      <w:pPr>
        <w:jc w:val="both"/>
        <w:ind w:firstLine="656"/>
        <w:spacing w:after="0" w:line="258" w:lineRule="auto"/>
        <w:tabs>
          <w:tab w:leader="none" w:pos="105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legality, validity, enforceability or admissibility into evidence of this Agreement in any jurisdiction in which the Company is organized or does business is not dependent upon this Agreement being submitted into, filed or recorded with any court or other authority in any such jurisdiction on or before the date hereof or that any tax, imposition or charge be paid in any such jurisdiction on or in respect of this Agreement, other than court costs (including, without limitation, filing fees),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Cayman Islands stamp duty must be paid if the Agreement is executed in, or brought to, the Cayman Islands (including being produced to a court of the Cayman Islands).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656"/>
        <w:spacing w:after="0" w:line="261" w:lineRule="auto"/>
        <w:tabs>
          <w:tab w:leader="none" w:pos="109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a binding letter of intent, binding accepted term sheet or similar instrument or any binding agreement that contemplates an acquisition, disposition, transfer or sale of the assets (as a going concern) or share capital of the Company or of any subsidiary or business unit or any similar business combination transaction which would be material to the Company and its subsidiaries taken as a whole.</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105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There has been no security breach or attack or other compromise of or relating to any of the Company’s and its subsidiaries’ information technology and computer systems, networks, hardware, software, data (including the data of their respective customers, employees, suppliers, vendors and any third party data maintained by or on behalf of them), equipment or technology (“</w:t>
      </w:r>
      <w:r>
        <w:rPr>
          <w:rFonts w:ascii="Times New Roman" w:cs="Times New Roman" w:eastAsia="Times New Roman" w:hAnsi="Times New Roman"/>
          <w:sz w:val="18"/>
          <w:szCs w:val="18"/>
          <w:b w:val="1"/>
          <w:bCs w:val="1"/>
          <w:u w:val="single" w:color="auto"/>
          <w:color w:val="auto"/>
        </w:rPr>
        <w:t>IT Systems and Data</w:t>
      </w:r>
      <w:r>
        <w:rPr>
          <w:rFonts w:ascii="Times New Roman" w:cs="Times New Roman" w:eastAsia="Times New Roman" w:hAnsi="Times New Roman"/>
          <w:sz w:val="18"/>
          <w:szCs w:val="18"/>
          <w:color w:val="auto"/>
        </w:rPr>
        <w:t>”), except where such security breach, attack or other compromise would not, individually or in the aggregate, have a Material Adverse Effect, (ii) the Company and its subsidiaries have not been notified of, and have no knowledge of any event or condition that would reasonably be expected to result in, any material security breach, attack or compromise to their IT Systems and Data, and (iii) the Company and its subsidiaries have complied, and are presently in compliance, with, all applicable laws, statutes or any judgment, order, rule or regulation of any court or arbitrator or governmental or regulatory authority and all industry guidelines, standards, internal policies and contractual obligations relating to the privacy and security of IT Systems and Data and to the protection of such IT Systems and Data from unauthorized use, access, misappropriation or modification, except where such noncompliance with such laws, statutes, judgment, order, rule or regulations or internal policies or contractual obligations would not, individually or in the aggregate, have a Material Adverse Effect. The Company and its subsidiaries have implemented backup and disaster recovery processes consistent with industry standards and practices.</w:t>
      </w:r>
    </w:p>
    <w:p>
      <w:pPr>
        <w:spacing w:after="0" w:line="192" w:lineRule="exact"/>
        <w:rPr>
          <w:sz w:val="20"/>
          <w:szCs w:val="20"/>
          <w:color w:val="auto"/>
        </w:rPr>
      </w:pPr>
    </w:p>
    <w:p>
      <w:pPr>
        <w:ind w:firstLine="656"/>
        <w:spacing w:after="0" w:line="282" w:lineRule="auto"/>
        <w:tabs>
          <w:tab w:leader="none" w:pos="105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its subsidiaries have any debt securities or preferred shares that are rated by any “nationally recognized statistical rating organization,” as such term is defined in Section 3(a)(62) of the Exchange Act.</w:t>
      </w:r>
    </w:p>
    <w:p>
      <w:pPr>
        <w:spacing w:after="0" w:line="161" w:lineRule="exact"/>
        <w:rPr>
          <w:rFonts w:ascii="Times New Roman" w:cs="Times New Roman" w:eastAsia="Times New Roman" w:hAnsi="Times New Roman"/>
          <w:sz w:val="18"/>
          <w:szCs w:val="18"/>
          <w:color w:val="auto"/>
        </w:rPr>
      </w:pPr>
    </w:p>
    <w:p>
      <w:pPr>
        <w:ind w:left="1100" w:hanging="444"/>
        <w:spacing w:after="0"/>
        <w:tabs>
          <w:tab w:leader="none" w:pos="11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party to any agreement with an agent or underwriter for any other “at the market” or continuous equity transaction.</w:t>
      </w:r>
    </w:p>
    <w:p>
      <w:pPr>
        <w:spacing w:after="0" w:line="225" w:lineRule="exact"/>
        <w:rPr>
          <w:rFonts w:ascii="Times New Roman" w:cs="Times New Roman" w:eastAsia="Times New Roman" w:hAnsi="Times New Roman"/>
          <w:sz w:val="18"/>
          <w:szCs w:val="18"/>
          <w:color w:val="auto"/>
        </w:rPr>
      </w:pPr>
    </w:p>
    <w:p>
      <w:pPr>
        <w:jc w:val="both"/>
        <w:ind w:firstLine="656"/>
        <w:spacing w:after="0" w:line="254" w:lineRule="auto"/>
        <w:tabs>
          <w:tab w:leader="none" w:pos="106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information provided to the Sales Agent or to counsel for the Sales Agent by the Company, its counsel, its officers and directors and, to the Company’s knowledge, the holders of any securities (debt or equity) or options to acquire any securities of the Company in connection with the offering of the Placement Shares is true, complete, correct and compliant with FINRA’s rules in all material respects and any letters, filings or other supplemental information provided to FINRA pursuant to FINRA Rules or NASD Conduct Rules is true, complete and correct in all material respects. Except as disclosed in the SEC Reports, there is no (i) officer or director of the Company or, (ii) to the Company’s knowledge, beneficial owner of 5% or more of any class of the Company’s securities or beneficial owner of the Company’s unregistered equity securities that were acquired during the 180-day period immediately preceding the date of this Agreement that is an affiliate or associated person of a FINRA member participating in the offer, issuance and sale of the Placement Shares as contemplated by this Agreement and the Registration Statement and the Prospectus (as determined in accordance with the rules and regulations of FINRA).</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100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09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action, suit, proceeding, inquiry, arbitration, investigation, litigation or governmental proceeding pending or, to the Company’s knowledge, threatened against, or involving the Company or, to the Company’s knowledge, any executive officer or director, which has not been disclosed in the Registration Statement and the Prospectus which is required to be disclosed, except as would not, individually or in the aggregate, reasonably be expected to have a Material Adverse Change.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656"/>
        <w:spacing w:after="0" w:line="266" w:lineRule="auto"/>
        <w:tabs>
          <w:tab w:leader="none" w:pos="108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loans, advances (except normal advances for business expenses in the ordinary course of business) or guarantees or indebtedness by the Company to or for the benefit of any of the officers or directors of the Company, or any of their respective family members, except as disclosed in the SEC Reports.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7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relied upon the Sales Agent or legal counsel for the Sales Agent for any legal, tax or accounting advice in connection with the offering and sale of the Placement Shares.</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96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related entities (i) is required to register as a “broker” or “dealer” in accordance with the provisions of the Exchange Act or (ii) directly or indirectly through one or more intermediaries, controls or is a “person associated with a member” or “associated person of a member” (within the meaning of Article I of the NASD Manual administered by FINRA). To the Company’s knowledge, there are no affiliations or associations between any member of FINRA and any of the Company’s officers, directors or 5% or greater security holders, except as set forth in the Registration Statement.</w:t>
      </w:r>
    </w:p>
    <w:p>
      <w:pPr>
        <w:spacing w:after="0" w:line="183" w:lineRule="exact"/>
        <w:rPr>
          <w:rFonts w:ascii="Times New Roman" w:cs="Times New Roman" w:eastAsia="Times New Roman" w:hAnsi="Times New Roman"/>
          <w:sz w:val="18"/>
          <w:szCs w:val="18"/>
          <w:color w:val="auto"/>
        </w:rPr>
      </w:pPr>
    </w:p>
    <w:p>
      <w:pPr>
        <w:jc w:val="both"/>
        <w:ind w:firstLine="656"/>
        <w:spacing w:after="0" w:line="255" w:lineRule="auto"/>
        <w:tabs>
          <w:tab w:leader="none" w:pos="109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Ordinary Shares are registered pursuant to Section 12(b) of the Exchange Act and are currently listed on the Exchange under the trading symbol “CHSN”. There is no action pending by the Company or, to the Company’s knowledge, the Exchange to delist the Class A Ordinary Shares from the Exchange, nor has the Company received any notification that the Exchange is contemplating terminating such listing. The Company has no intention to delist the Class A Ordinary Shares from the Exchange or to deregister the Class A Ordinary Shares under the Exchange Act, in either case, at any time during the period commencing on the date of this Agreement through and including the 90th calendar day after the termination of this Agreement. The Placement Shares have been approved for listing on the Exchange. The issuance and sale of the Placement Shares under this Agreement does not contravene the rules and regulations of the Exchange.</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96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owns no “margin securities” as that term is defined in Regulation U of the Board of Governors of the Federal Reserve System (the “</w:t>
      </w:r>
      <w:r>
        <w:rPr>
          <w:rFonts w:ascii="Times New Roman" w:cs="Times New Roman" w:eastAsia="Times New Roman" w:hAnsi="Times New Roman"/>
          <w:sz w:val="18"/>
          <w:szCs w:val="18"/>
          <w:b w:val="1"/>
          <w:bCs w:val="1"/>
          <w:u w:val="single" w:color="auto"/>
          <w:color w:val="auto"/>
        </w:rPr>
        <w:t>Federal Reserve Board</w:t>
      </w:r>
      <w:r>
        <w:rPr>
          <w:rFonts w:ascii="Times New Roman" w:cs="Times New Roman" w:eastAsia="Times New Roman" w:hAnsi="Times New Roman"/>
          <w:sz w:val="18"/>
          <w:szCs w:val="18"/>
          <w:color w:val="auto"/>
        </w:rPr>
        <w:t>”), and none of the proceeds from the issuance and sale of the Placement Shares as contemplated by this Agreement and as described in the Registration Statement and the Prospectus will be used, directly or indirectly, for the purpose of purchasing or carrying any margin security, for the purpose of reducing or retiring any indebtedness which was originally incurred to purchase or carry any margin security or for any other purpose which might cause any of the Class A Ordinary Shares to be considered a “purpose credit” within the meanings of Regulation T, U or X of the Federal Reserve Board.</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123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Company is aware of, has been advised as to the content of, and, except as otherwise disclosed in the Registration Statement and the Prospectus, has complied with (i) the filing procedures and other requirements set out in the applicable PRC laws and regulations governing overseas securities offering and listing by domestic companies, including, among others, the Trial Administrative Measures for Overseas Securities Offering and Listing by Domestic Companies and the related Provisions on Strengthening the Confidentiality and Archive Management Work Relating to the Overseas Securities Offering and Listing (collectively, the “</w:t>
      </w:r>
      <w:r>
        <w:rPr>
          <w:rFonts w:ascii="Times New Roman" w:cs="Times New Roman" w:eastAsia="Times New Roman" w:hAnsi="Times New Roman"/>
          <w:sz w:val="18"/>
          <w:szCs w:val="18"/>
          <w:b w:val="1"/>
          <w:bCs w:val="1"/>
          <w:color w:val="auto"/>
        </w:rPr>
        <w:t>Trial Measures and Confidentiality Provisions</w:t>
      </w:r>
      <w:r>
        <w:rPr>
          <w:rFonts w:ascii="Times New Roman" w:cs="Times New Roman" w:eastAsia="Times New Roman" w:hAnsi="Times New Roman"/>
          <w:sz w:val="18"/>
          <w:szCs w:val="18"/>
          <w:color w:val="auto"/>
        </w:rPr>
        <w:t>”); (ii) the Rules on Mergers and Acquisitions of Domestic Enterprises by Foreign Investors jointly promulgated on August 8, 2006, as amended, together with any official clarifications, guidance, interpretations or implementation rules related thereto (collectively, the “</w:t>
      </w:r>
      <w:r>
        <w:rPr>
          <w:rFonts w:ascii="Times New Roman" w:cs="Times New Roman" w:eastAsia="Times New Roman" w:hAnsi="Times New Roman"/>
          <w:sz w:val="18"/>
          <w:szCs w:val="18"/>
          <w:b w:val="1"/>
          <w:bCs w:val="1"/>
          <w:color w:val="auto"/>
        </w:rPr>
        <w:t>M&amp;A Rules</w:t>
      </w:r>
      <w:r>
        <w:rPr>
          <w:rFonts w:ascii="Times New Roman" w:cs="Times New Roman" w:eastAsia="Times New Roman" w:hAnsi="Times New Roman"/>
          <w:sz w:val="18"/>
          <w:szCs w:val="18"/>
          <w:color w:val="auto"/>
        </w:rPr>
        <w:t>”); and (iii) all other applicable rules and regulations of relevant PRC government agencies, including but not limited to the Ministry of Commerce, the National Development and Reform Commission, the China Securities Regulatory Commission (“</w:t>
      </w:r>
      <w:r>
        <w:rPr>
          <w:rFonts w:ascii="Times New Roman" w:cs="Times New Roman" w:eastAsia="Times New Roman" w:hAnsi="Times New Roman"/>
          <w:sz w:val="18"/>
          <w:szCs w:val="18"/>
          <w:b w:val="1"/>
          <w:bCs w:val="1"/>
          <w:color w:val="auto"/>
        </w:rPr>
        <w:t>CSRC</w:t>
      </w:r>
      <w:r>
        <w:rPr>
          <w:rFonts w:ascii="Times New Roman" w:cs="Times New Roman" w:eastAsia="Times New Roman" w:hAnsi="Times New Roman"/>
          <w:sz w:val="18"/>
          <w:szCs w:val="18"/>
          <w:color w:val="auto"/>
        </w:rPr>
        <w:t>”) and the State Administration of Foreign Exchange (“</w:t>
      </w:r>
      <w:r>
        <w:rPr>
          <w:rFonts w:ascii="Times New Roman" w:cs="Times New Roman" w:eastAsia="Times New Roman" w:hAnsi="Times New Roman"/>
          <w:sz w:val="18"/>
          <w:szCs w:val="18"/>
          <w:b w:val="1"/>
          <w:bCs w:val="1"/>
          <w:color w:val="auto"/>
        </w:rPr>
        <w:t>SAFE</w:t>
      </w:r>
      <w:r>
        <w:rPr>
          <w:rFonts w:ascii="Times New Roman" w:cs="Times New Roman" w:eastAsia="Times New Roman" w:hAnsi="Times New Roman"/>
          <w:sz w:val="18"/>
          <w:szCs w:val="18"/>
          <w:color w:val="auto"/>
        </w:rPr>
        <w:t>”) relating to overseas investment by PRC residents and citizens (together with the foregoing, the “</w:t>
      </w:r>
      <w:r>
        <w:rPr>
          <w:rFonts w:ascii="Times New Roman" w:cs="Times New Roman" w:eastAsia="Times New Roman" w:hAnsi="Times New Roman"/>
          <w:sz w:val="18"/>
          <w:szCs w:val="18"/>
          <w:b w:val="1"/>
          <w:bCs w:val="1"/>
          <w:color w:val="auto"/>
        </w:rPr>
        <w:t>PRC Overseas Investment and Listing Rules and Regulations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has taken reasonable steps to cause its direct or indirect principal shareholders who are PRC residents or citizens to comply with all applicable PRC Overseas Investment and Listing Rules and Regulations, including, without limitation, requiring each such person that is, or is directly or indirectly owned or controlled by, a PRC resident or citizen to complete any required registration, to timely report material changes, and to complete other procedures required under such rules and regulations. Based on the legal advice from the Company’s PRC counsel, the Company confirms that (i) the issuance and sale of the Class A Ordinary Shares, the listing and trading of such shares on Nasdaq and the consummation of the transactions contemplated by this Agreement are not, and will not be as of the date hereof or any Settlement Date, adversely affected by the M&amp;A Rules or the Trial Measures and Confidentiality Provisions; (ii) as this issuance and sale of the Class A Ordinary Shares is regarded as a subsequent securities offering in the same overseas market through a phased distribution method within the authorized scope under the Trial Measures and Confidentiality Provisions, the Company is required to complete the filing procedures with the CSRC after the completion of the first issuance in accordance with the Trial Measures and Confidentiality Provisions and submit a consolidated report on the issuance status to the CSRC after all subsequent issuances have been completed, the consolidated report shall include complete details of the total number of Class A Ordinary Shares issued and the issue price; and (iii) the Company is not required to obtain the approval of the CSRC or to make any additional filing or notification with the CSRC in relation to the execution of this Agreement, the giving of any Placement Notices or the issuance of the Placement Shares hereunder, but will make any required post-offering reports and comply with all applicable PRC regulations in connection with subsequent securities offerings under the Registration Statement.</w:t>
      </w:r>
    </w:p>
    <w:p>
      <w:pPr>
        <w:spacing w:after="0" w:line="1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certificate signed by an officer of the Company and delivered to the Sales Agent or to counsel for the Sales Agent pursuant to or in connection with this Agreement shall be deemed to be a representation and warranty by the Company to the Sales Agent as to the matters set forth therein.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 acknowledges that the Sales Agent and, for purposes of the opinions and negative assurance letter to be delivered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 counsel to the Company and counsel to the Sales Agent, will rely upon the accuracy and truthfulness of the foregoing representations and hereby consents to such reliance.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and agrees with the Sales Agent that:</w:t>
      </w:r>
    </w:p>
    <w:p>
      <w:pPr>
        <w:spacing w:after="0" w:line="225" w:lineRule="exact"/>
        <w:rPr>
          <w:sz w:val="20"/>
          <w:szCs w:val="20"/>
          <w:color w:val="auto"/>
        </w:rPr>
      </w:pPr>
    </w:p>
    <w:p>
      <w:pPr>
        <w:jc w:val="both"/>
        <w:ind w:firstLine="656"/>
        <w:spacing w:after="0" w:line="251" w:lineRule="auto"/>
        <w:tabs>
          <w:tab w:leader="none" w:pos="89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Amendments</w:t>
      </w:r>
      <w:r>
        <w:rPr>
          <w:rFonts w:ascii="Times New Roman" w:cs="Times New Roman" w:eastAsia="Times New Roman" w:hAnsi="Times New Roman"/>
          <w:sz w:val="18"/>
          <w:szCs w:val="18"/>
          <w:color w:val="auto"/>
        </w:rPr>
        <w:t>. After the date of this Agreement and during any period in which a Prospectus relating to any Placement Shares is required to be delivered by the Sales Agent under the Securities Act (including in circumstances where such requirement may be satisfied pursuant to Rule 153 or Rule 172 under the Securities Act), (i) the Company will notify the Sales Agent promptly of the time when any subsequent amendment to the Registration Statement, other than documents incorporated by reference, has been filed with the Commission and/or has become effective or any subsequent supplement to the Prospectus, other than documents incorporated by reference, has been filed and of any request by the Commission for any amendment or supplement to the Registration Statement or Prospectus or for additional information; (ii) the Company will prepare and file with the Commission, promptly upon the Sales Agent’s reasonable request, any amendments or supplements to the Registration Statement or Prospectus that, in the Sales Agent’s reasonable opinion, may be necessary or advisable in connection with the distribution of the Placement Shares by the Sales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failure of the Sales Agent to make such request shall not relieve the Company of any obligation or liability hereunder, or affect the Sales Agent’s right to rely on the representations and warranties made by the Company in this Agreement,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only remedy the Sales Agent shall have with respect to the failure to make such filing shall be to cease making sales under this Agreement until such amendment or supplement is filed); (iii) the Company will not file any amendment or supplement to the Registration Statement or Prospectus, other than documents incorporated by reference, relating to the Placement Shares or a security convertible into the Placement Shares unless a copy thereof has been submitted to the Sales Agent within a reasonable period of time before the filing and the Sales Agent has not reasonably objected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failure of the Sales Agent to make such objection shall not relieve the Company of any obligation or liability hereunder, or affect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Sales Agent’s right to rely on the representations and warranties made by the Company in this Agreement,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only remedy the Sales Agent shall have with respect to the failure by the Company to obtain such consent shall be to cease making sales under this Agreement); (iv) the Company will furnish to the Sales Agent at the time of filing thereof a copy of any document that upon filing is deemed to be incorporated by reference into the Registration Statement or Prospectus, except for those documents available via EDGAR; and (v) the Company will cause each amendment or supplement to the Prospectus, other than documents incorporated by reference, to be filed with the Commission as required pursuant to the applicable paragraph of Rule 424(b) of the Securities Act (without reliance on Rule 424(b)(8) of the Securities Act) or, in the case of any documents incorporated by reference, to be filed with the Commission as required pursuant to the Exchange Act, within the time period prescribed.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left="920" w:hanging="264"/>
        <w:spacing w:after="0"/>
        <w:tabs>
          <w:tab w:leader="none" w:pos="9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Commission Stop Orders</w:t>
      </w:r>
      <w:r>
        <w:rPr>
          <w:rFonts w:ascii="Times New Roman" w:cs="Times New Roman" w:eastAsia="Times New Roman" w:hAnsi="Times New Roman"/>
          <w:sz w:val="18"/>
          <w:szCs w:val="18"/>
          <w:color w:val="auto"/>
        </w:rPr>
        <w:t>. The Company will advise the Sales Agent, promptly after it receives notice or obtains knowledge thereof,</w:t>
      </w:r>
    </w:p>
    <w:p>
      <w:pPr>
        <w:spacing w:after="0" w:line="27" w:lineRule="exact"/>
        <w:rPr>
          <w:rFonts w:ascii="Times New Roman" w:cs="Times New Roman" w:eastAsia="Times New Roman" w:hAnsi="Times New Roman"/>
          <w:sz w:val="18"/>
          <w:szCs w:val="18"/>
          <w:color w:val="auto"/>
        </w:rPr>
      </w:pPr>
    </w:p>
    <w:p>
      <w:pPr>
        <w:jc w:val="both"/>
        <w:ind w:firstLine="8"/>
        <w:spacing w:after="0" w:line="252" w:lineRule="auto"/>
        <w:tabs>
          <w:tab w:leader="none" w:pos="2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issuance by the Commission of any stop order suspending the effectiveness of the Registration Statement or any notice objecting to, or other order preventing or suspending the use of, the Prospectus, (ii) of the suspension of the qualification of the Placement Shares for offering or sale in any jurisdiction, (iii) of the initiation of any proceeding for any such purpose or any examination pursuant to Section 8(e) of the Securities Act, or (iv) if the Company becomes the subject of a proceeding under Section 8A of the Securities Act in connection with the offering of the Placement Shares; and it will promptly use its commercially reasonable efforts to prevent the issuance of any stop order or to obtain its withdrawal if such a stop order should be issued. Until such time as any stop order is lifted, the Sales Agent shall cease making offers and sales under this Agreement.</w:t>
      </w:r>
    </w:p>
    <w:p>
      <w:pPr>
        <w:spacing w:after="0" w:line="189" w:lineRule="exact"/>
        <w:rPr>
          <w:rFonts w:ascii="Times New Roman" w:cs="Times New Roman" w:eastAsia="Times New Roman" w:hAnsi="Times New Roman"/>
          <w:sz w:val="18"/>
          <w:szCs w:val="18"/>
          <w:color w:val="auto"/>
        </w:rPr>
      </w:pPr>
    </w:p>
    <w:p>
      <w:pPr>
        <w:jc w:val="both"/>
        <w:ind w:firstLine="656"/>
        <w:spacing w:after="0" w:line="253" w:lineRule="auto"/>
        <w:tabs>
          <w:tab w:leader="none" w:pos="89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Prospectus; Subsequent Changes</w:t>
      </w:r>
      <w:r>
        <w:rPr>
          <w:rFonts w:ascii="Times New Roman" w:cs="Times New Roman" w:eastAsia="Times New Roman" w:hAnsi="Times New Roman"/>
          <w:sz w:val="18"/>
          <w:szCs w:val="18"/>
          <w:color w:val="auto"/>
        </w:rPr>
        <w:t xml:space="preserve">. Provided that this Agreement has not been terminated including pursuant to its terms, during any period in which a Prospectus relating to the Placement Shares is required to be delivered by the Sales Agent under the Securities Act with respect to a pending sale of the Placement Shares (including in circumstances where such requirement may be satisfied pursuant to Rule 153 or Rule 172 under the Securities Act), the Company will comply in all material respects with all requirements imposed upon it by the Securities Act, as from time to time in force, and to file on or before their respective due dates (taking into account any extensions available under the Exchange Act)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Sales Agent to suspend the offering of Placement Shares, during such period and the Company will promptly amend or supplement the Registration Statement or Prospectus (at the expense of the Company) so as to correct such statement or omission or effect such compliance;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delay any such amendment or supplement if, in the reasonable judgment of the Company, it is in the best interests of the Company to do so.</w:t>
      </w:r>
    </w:p>
    <w:p>
      <w:pPr>
        <w:spacing w:after="0" w:line="187" w:lineRule="exact"/>
        <w:rPr>
          <w:rFonts w:ascii="Times New Roman" w:cs="Times New Roman" w:eastAsia="Times New Roman" w:hAnsi="Times New Roman"/>
          <w:sz w:val="18"/>
          <w:szCs w:val="18"/>
          <w:color w:val="auto"/>
        </w:rPr>
      </w:pPr>
    </w:p>
    <w:p>
      <w:pPr>
        <w:jc w:val="both"/>
        <w:ind w:firstLine="656"/>
        <w:spacing w:after="0" w:line="254" w:lineRule="auto"/>
        <w:tabs>
          <w:tab w:leader="none" w:pos="903"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of Placement Shares.</w:t>
      </w:r>
      <w:r>
        <w:rPr>
          <w:rFonts w:ascii="Times New Roman" w:cs="Times New Roman" w:eastAsia="Times New Roman" w:hAnsi="Times New Roman"/>
          <w:sz w:val="18"/>
          <w:szCs w:val="18"/>
          <w:color w:val="auto"/>
        </w:rPr>
        <w:t xml:space="preserve"> Provided that this Agreement has not been terminated including pursuant to its terms, during any period in which the Prospectus relating to the Placement Shares is required to be delivered by the Sales Agent under the Securities Act with respect to a pending sale of the Placement Shares (including in circumstances where such requirement may be satisfied pursuant to Rule 153 or Rule 172 under the Securities Act), the Company will use its commercially reasonable efforts to cause the Placement Shares to be listed on the Nasdaq Stock Market and to qualify the Placement Shares for sale under the securities laws of such jurisdictions as the Sales Agent reasonably designates and to continue such qualifications in effect so long as required for the distribution of the Placement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in connection therewith to (i) qualify as a foreign corporation or dealer in securities, (ii) execute or file a general consent to service of process in any jurisdiction or (iii) subject itself to taxation in respect of doing business in any jurisdiction in which it is not otherwise so subject.</w:t>
      </w:r>
    </w:p>
    <w:p>
      <w:pPr>
        <w:spacing w:after="0" w:line="191" w:lineRule="exact"/>
        <w:rPr>
          <w:rFonts w:ascii="Times New Roman" w:cs="Times New Roman" w:eastAsia="Times New Roman" w:hAnsi="Times New Roman"/>
          <w:sz w:val="18"/>
          <w:szCs w:val="18"/>
          <w:color w:val="auto"/>
        </w:rPr>
      </w:pPr>
    </w:p>
    <w:p>
      <w:pPr>
        <w:jc w:val="both"/>
        <w:ind w:firstLine="656"/>
        <w:spacing w:after="0" w:line="254" w:lineRule="auto"/>
        <w:tabs>
          <w:tab w:leader="none" w:pos="919"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Registration Statement and Prospectus</w:t>
      </w:r>
      <w:r>
        <w:rPr>
          <w:rFonts w:ascii="Times New Roman" w:cs="Times New Roman" w:eastAsia="Times New Roman" w:hAnsi="Times New Roman"/>
          <w:sz w:val="18"/>
          <w:szCs w:val="18"/>
          <w:color w:val="auto"/>
        </w:rPr>
        <w:t xml:space="preserve">. The Company will furnish to the Sales Agent and its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the Sales Agent may from time to time reasonably request and, at the Sales Agent’s request, will also furnish copies of the Prospectus to each exchange or market on which sales of the Placement Shares may be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furnish any document (other than the Prospectus) to the Sales Agent to the extent such document is available on EDGAR.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56"/>
        <w:spacing w:after="0" w:line="261" w:lineRule="auto"/>
        <w:tabs>
          <w:tab w:leader="none" w:pos="87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The Company will make generally available to its security holders as soon as practicable, but in any event not later than 15 months after the end of the Company’s current fiscal year, an earnings statement of the Company (which need not be audited) covering a 12-month period that complies with Section 11(a) and Rule 158 of the Securities Act. The terms “earnings statement” and “make generally available to its security holders” shall have the meanings set forth in Rule 158 under the Securities Act.</w:t>
      </w:r>
    </w:p>
    <w:p>
      <w:pPr>
        <w:spacing w:after="0" w:line="179" w:lineRule="exact"/>
        <w:rPr>
          <w:rFonts w:ascii="Times New Roman" w:cs="Times New Roman" w:eastAsia="Times New Roman" w:hAnsi="Times New Roman"/>
          <w:sz w:val="18"/>
          <w:szCs w:val="18"/>
          <w:color w:val="auto"/>
        </w:rPr>
      </w:pPr>
    </w:p>
    <w:p>
      <w:pPr>
        <w:jc w:val="both"/>
        <w:ind w:firstLine="656"/>
        <w:spacing w:after="0" w:line="251" w:lineRule="auto"/>
        <w:tabs>
          <w:tab w:leader="none" w:pos="93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The Company, whether or not the transactions contemplated hereunder are consummated or this Agreement is terminated in accordance with the provisions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hereunder, will pay all the following expenses incident to the performance of its obligations hereunder, including, but not limited to, expenses relating to (i) the preparation, printing and filing of the Registration Statement and each amendment and supplement thereto, of each Prospectus and of each amendment and supplement thereto, and of this Agreement and such other documents as may be required in connection with the offering, purchase, sale or issuance of the Placement Shares, (ii) the preparation, issuance and sale of the Placement Shares, including any share or other transfer taxes and any stamp or other duties payable upon the sale or issuance of the Placement Shares to the Sales Agent, (iii) the fees and disbursements of the counsel, accountants and other advisors to the Company in connection with the transactions contemplated by this Agreement; (iv) the qualification of the Placement Shares under securities laws in accordance with the provisions of </w:t>
      </w:r>
      <w:r>
        <w:rPr>
          <w:rFonts w:ascii="Times New Roman" w:cs="Times New Roman" w:eastAsia="Times New Roman" w:hAnsi="Times New Roman"/>
          <w:sz w:val="18"/>
          <w:szCs w:val="18"/>
          <w:u w:val="single" w:color="auto"/>
          <w:color w:val="auto"/>
        </w:rPr>
        <w:t>Section 7(d)</w:t>
      </w:r>
      <w:r>
        <w:rPr>
          <w:rFonts w:ascii="Times New Roman" w:cs="Times New Roman" w:eastAsia="Times New Roman" w:hAnsi="Times New Roman"/>
          <w:sz w:val="18"/>
          <w:szCs w:val="18"/>
          <w:color w:val="auto"/>
        </w:rPr>
        <w:t xml:space="preserve"> of this Agreement, including filing fees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fees or disbursements of counsel for the Sales Agent in connection therewith shall be paid by the Sales Agent except as set forth in (ix) below), (v) the printing and delivery to the Sales Agent and their counsel of copies of the Prospectus and any amendments or supplements thereto, and of this Agreement, (vi) the fees and expenses incurred in connection with the listing or qualification of the Placement Shares for trading on the Exchange, (vii) the fees and expenses of the transfer agent for the Class A Ordinary Shares; (viii) filing fees and expenses, if any, of the Commission and the FINRA Corporate Financing Department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fees or disbursements of counsel for the Sales Agent in connection therewith shall be paid by the Sales Agent except as set forth in (ix) below), (ix) the Company shall reimburse the Sales Agent for its reasonable and documented out-of-pocket expenses (including but not limited to the Sales Agent’s transaction costs and the reasonable and documented fees and expenses of counsel to the Sales Agent) in an amount not to exceed $100,000 and which $70,000 was paid to the Sales Agent at the signing of the letter agreement, dated October 23, 2025, by and between the Sales Agent and the Company (the “</w:t>
      </w:r>
      <w:r>
        <w:rPr>
          <w:rFonts w:ascii="Times New Roman" w:cs="Times New Roman" w:eastAsia="Times New Roman" w:hAnsi="Times New Roman"/>
          <w:sz w:val="18"/>
          <w:szCs w:val="18"/>
          <w:b w:val="1"/>
          <w:bCs w:val="1"/>
          <w:u w:val="single" w:color="auto"/>
          <w:color w:val="auto"/>
        </w:rPr>
        <w:t>Engagement Letter</w:t>
      </w:r>
      <w:r>
        <w:rPr>
          <w:rFonts w:ascii="Times New Roman" w:cs="Times New Roman" w:eastAsia="Times New Roman" w:hAnsi="Times New Roman"/>
          <w:sz w:val="18"/>
          <w:szCs w:val="18"/>
          <w:color w:val="auto"/>
        </w:rPr>
        <w:t xml:space="preserve">”), including legal fees to the Sales Agent’s counsel of $30,000 paid at signing the Engagement Letter,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Company shall reimburse the Sales Agent for its reasonable and documented out-of-pocket expenses related to maintenance of the Agreement (including but not limited to the Sales Agent’s transaction costs and the reasonable and documented fees and expenses of counsel to the Sales Agent, including legal fee to the Sales Agent’s counsel of $5,000 for each Representation Date (defined in Section 7(m)), and in no event an amount more than $14,000 per fiscal year, which shall be due and payable prior to each Representation Date;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such fees shall be payable if a Placement Notice is outstanding or if Class A Ordinary Shares have been sold in the prior quarter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to the extent the Company continues to desire to sell Class A Ordinary Shares pursuant to this Agreement, the Company shall reimburse the Sales Agent for its reasonable and documented out-of-pocket expenses (including but not limited to the reasonable fees and documented out-of-pocked costs and expenses of counsel to the Sales Agent, including legal fee to the Sales Agent’s counsel) for each program “refresh” (filing of a new registration statement, prospectus, or prospectus supplement relating to the Placement Shares and/or an amendment of this Agreement) executed pursuant to this Agreement. Notwithstanding anything therein to the contrary, the Engagement Letter is hereby automatically terminated, and no provision therein shall survive such termination, without any further act by any party thereto, upon the execution of this Agreement.</w:t>
      </w:r>
    </w:p>
    <w:p>
      <w:pPr>
        <w:spacing w:after="0" w:line="202"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will use the Net Proceeds as described in the Prospectus under the caption entitled “Use of Proceeds.”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656"/>
        <w:spacing w:after="0" w:line="251" w:lineRule="auto"/>
        <w:tabs>
          <w:tab w:leader="none" w:pos="86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Other Sales</w:t>
      </w:r>
      <w:r>
        <w:rPr>
          <w:rFonts w:ascii="Times New Roman" w:cs="Times New Roman" w:eastAsia="Times New Roman" w:hAnsi="Times New Roman"/>
          <w:sz w:val="18"/>
          <w:szCs w:val="18"/>
          <w:color w:val="auto"/>
        </w:rPr>
        <w:t xml:space="preserve">. The Company (I) shall provide the Sales Agent notice at least two (2) days before it offers to sell, contracts to sell, sells, grants any option to sell or otherwise disposes of any Class A Ordinary Shares (other than Placement Shares offered pursuant to the provisions of this Agreement) or securities convertible into or exchangeable for Class A Ordinary Shares, or warrants or any rights to purchase or acquire Class A Ordinary Shares, during the period beginning on the fifth (5th) Trading Day immediately prior to the date on which any Placement Notice is delivered to the Sales Agent hereunder and ending on the second (2nd) Trading Day immediately following the final Settlement Date with respect to Placement Shares sold pursuant to such Placement Notice (or, if the Placement Notice has been terminated or suspended prior to the sale of all Placement Shares covered by a Placement Notice, the fifth (5th) Trading Day immediately following the date of such suspension or termination), and (II) will not directly or indirectly engage in any other “at-the-market” or continuous equity transaction under which the Company offers to sell, sells, contracts to sell, grants any option to sell or otherwise disposes of any Class A Ordinary Shares (other than the Placement Shares offered pursuant to this Agreement) or securities convertible into or exchangeable for Class A Ordinary Shares, warrants or any rights to purchase or acquire, Class A Ordinary Shares prior to the termination of this Agreement without the prior written consent of the Sales Agent;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notice requirements or restrictions, as the case may be, will not be required in connection with the Company’s issuance or sale of (i) Class A Ordinary Shares, options to purchase Class A Ordinary Shares, other equity awards, Class A Ordinary Shares issuable upon the exercise of options or other equity awards, pursuant to any employee or director share option or benefits plan, share ownership plan or dividend reinvestment plan of the Company whether now in effect or hereafter implemented, (ii) Class A Ordinary Shares issuable upon exchange, conversion or redemption of securities or the exercise of warrants, options or other rights in effect or outstanding, and disclosed in filings by the Company available on EDGAR or otherwise in writing (including by email correspondence) to the Sales Agent, (iii) Class A Ordinary Shares issuable pursuant to equity line or similar transactions, (iv) Class A Ordinary Shares or securities convertible into or exchangeable for Class A Ordinary Shares as consideration for mergers, acquisitions, sale or purchase of assets or other business combinations or strategic alliances occurring after the date of this Agreement which are not issued for capital raising purposes, and (v) Class A Ordinary Shares arising from options to convert earn-out payments into equity of the Company as disclosed in the Registration Statement and the Prospectus. Notwithstanding the foregoing, the Company shall provide the Sales Agent notice at least three (3) Business Days prior to pursuing any private or public offerings of equity and/or other securities (including debt securities) in one or more transactions.</w:t>
      </w:r>
    </w:p>
    <w:p>
      <w:pPr>
        <w:spacing w:after="0" w:line="205" w:lineRule="exact"/>
        <w:rPr>
          <w:rFonts w:ascii="Times New Roman" w:cs="Times New Roman" w:eastAsia="Times New Roman" w:hAnsi="Times New Roman"/>
          <w:sz w:val="18"/>
          <w:szCs w:val="18"/>
          <w:color w:val="auto"/>
        </w:rPr>
      </w:pPr>
    </w:p>
    <w:p>
      <w:pPr>
        <w:jc w:val="both"/>
        <w:ind w:firstLine="656"/>
        <w:spacing w:after="0" w:line="266" w:lineRule="auto"/>
        <w:tabs>
          <w:tab w:leader="none" w:pos="86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Circumstances</w:t>
      </w:r>
      <w:r>
        <w:rPr>
          <w:rFonts w:ascii="Times New Roman" w:cs="Times New Roman" w:eastAsia="Times New Roman" w:hAnsi="Times New Roman"/>
          <w:sz w:val="18"/>
          <w:szCs w:val="18"/>
          <w:color w:val="auto"/>
        </w:rPr>
        <w:t>. The Company will, at any time during a fiscal quarter in which the Company intends to tender a Placement Notice or sell Placement Shares, advise the Sales Agent promptly after it shall have received notice or obtained knowledge thereof, of any information or fact that would alter or affect in any material respect any opinion, certificate, letter or other document provided to the Sales Agent pursuant to this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3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 Cooperation</w:t>
      </w:r>
      <w:r>
        <w:rPr>
          <w:rFonts w:ascii="Times New Roman" w:cs="Times New Roman" w:eastAsia="Times New Roman" w:hAnsi="Times New Roman"/>
          <w:sz w:val="18"/>
          <w:szCs w:val="18"/>
          <w:color w:val="auto"/>
        </w:rPr>
        <w:t>. During the term of this Agreement, the Company will cooperate with any reasonable due diligence review conducted by the Sales Agent or its agents in connection with the transactions contemplated hereby, including, without limitation, providing information and making available documents and senior corporate officers, during regular business hours and at the Company’s principal offices, as the Sales Agent may reasonably request.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656"/>
        <w:spacing w:after="0" w:line="252" w:lineRule="auto"/>
        <w:tabs>
          <w:tab w:leader="none" w:pos="87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Filings Relating to Placement of Placement Shares</w:t>
      </w:r>
      <w:r>
        <w:rPr>
          <w:rFonts w:ascii="Times New Roman" w:cs="Times New Roman" w:eastAsia="Times New Roman" w:hAnsi="Times New Roman"/>
          <w:sz w:val="18"/>
          <w:szCs w:val="18"/>
          <w:color w:val="auto"/>
        </w:rPr>
        <w:t xml:space="preserve">. The Company shall set forth in each Annual Report on Form 20-F and current report on Form 6-K containing unaudited interim financial statements filed by the Company with the Commission in respect of any semi-annual period in which sales of Placement Shares were made by or through the Sales Agent under this Agreement, with regard to the relevant period, the amount of Placement Shares sold to or through the Sales Agent, the Net Proceeds to the Company and the compensation payable by the Company to the Sales Agent with respect to such sales of Placement Shares. To the extent that the filing of a prospectus supplement with the Commission with respect to any sales of Placement Shares becomes required under Rule 424(b) under the Securities Act, the Company agrees that, on or before such dates as the Securities Act shall require, the Company will (i) file a prospectus supplement with the Commission under the applicable paragraph of Rule 424(b) under the Securities Act, which prospectus supplement will set forth, with regard to the relevant period, the amount of Placement Shares sold to or through the Sales Agent, the Net Proceeds to the Company and the compensation payable by the Company to the Sales Agent with respect to such Placement Shares, and (ii) deliver such number of copies of each such prospectus supplement to each exchange or market on which such sales were effected as may be required by the rules or regulations of such exchange or market. The Company shall afford the Sales Agent and its counsel with a reasonable opportunity to review and comment upon, shall consult with the Sales Agent and its counsel on the form and substance of, and shall give due consideration to all such comments from the Sales Agent or its counsel on, any such filing prior to the issuance, filing or public disclosure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submit for review (A) any portion of any periodic reports filed with the Commission under the Exchange Act other than the specific disclosure relating to any sales of Placement Shares and (B) any disclosure contained in periodic reports filed with the Commission under the Exchange Act if it shall have previously provided the same disclosure for review in connection with a previous filing.</w:t>
      </w:r>
    </w:p>
    <w:p>
      <w:pPr>
        <w:spacing w:after="0" w:line="194" w:lineRule="exact"/>
        <w:rPr>
          <w:rFonts w:ascii="Times New Roman" w:cs="Times New Roman" w:eastAsia="Times New Roman" w:hAnsi="Times New Roman"/>
          <w:sz w:val="18"/>
          <w:szCs w:val="18"/>
          <w:color w:val="auto"/>
        </w:rPr>
      </w:pPr>
    </w:p>
    <w:p>
      <w:pPr>
        <w:jc w:val="both"/>
        <w:ind w:firstLine="656"/>
        <w:spacing w:after="0" w:line="252" w:lineRule="auto"/>
        <w:tabs>
          <w:tab w:leader="none" w:pos="953"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Dates; Certificate</w:t>
      </w:r>
      <w:r>
        <w:rPr>
          <w:rFonts w:ascii="Times New Roman" w:cs="Times New Roman" w:eastAsia="Times New Roman" w:hAnsi="Times New Roman"/>
          <w:sz w:val="18"/>
          <w:szCs w:val="18"/>
          <w:color w:val="auto"/>
        </w:rPr>
        <w:t xml:space="preserve">. On or prior to the date the first Placement Notice is given hereunder and each time the Company (i) files the Prospectus relating to the Placement Shares or amends or supplements the Registration Statement or the Prospectus relating to the Placement Shares (other than (A) a prospectus supplement filed in accordance with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of this Agreement or (B) a supplement or amendment that relates to an offering of securities other than the Placement Shares) by means of a post-effective amendment, sticker, or supplement but not by means of incorporation of document(s) by reference to the Registration Statement or the Prospectus relating to the Placement Shares; (ii) files an annual report on Form 20-F under the Exchange Act (including any Form 20-F/A containing amended financial information or a material amendment to the previously filed Form 20-F); (iii) files a current report on Form 6-K containing unaudited interim financial statements under the Exchange Act incorporated by reference into the Registration Statement or Prospectus; or (iv) files a current report on Form 6-K containing amended financial information (other than an earnings release, to “furnish” information or to provide disclosure relating to the reclassification of certain properties as discontinued operations in accordance with Statement of Financial Accounting Standards No. 144) under the Exchange Act (each date of filing of one or more of the documents referred to in clauses</w:t>
      </w:r>
    </w:p>
    <w:p>
      <w:pPr>
        <w:spacing w:after="0" w:line="5" w:lineRule="exact"/>
        <w:rPr>
          <w:rFonts w:ascii="Times New Roman" w:cs="Times New Roman" w:eastAsia="Times New Roman" w:hAnsi="Times New Roman"/>
          <w:sz w:val="18"/>
          <w:szCs w:val="18"/>
          <w:color w:val="auto"/>
        </w:rPr>
      </w:pPr>
    </w:p>
    <w:p>
      <w:pPr>
        <w:jc w:val="both"/>
        <w:ind w:firstLine="8"/>
        <w:spacing w:after="0" w:line="251" w:lineRule="auto"/>
        <w:tabs>
          <w:tab w:leader="none" w:pos="2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(iv) shall be a “</w:t>
      </w:r>
      <w:r>
        <w:rPr>
          <w:rFonts w:ascii="Times New Roman" w:cs="Times New Roman" w:eastAsia="Times New Roman" w:hAnsi="Times New Roman"/>
          <w:sz w:val="18"/>
          <w:szCs w:val="18"/>
          <w:b w:val="1"/>
          <w:bCs w:val="1"/>
          <w:u w:val="single" w:color="auto"/>
          <w:color w:val="auto"/>
        </w:rPr>
        <w:t>Representation Date</w:t>
      </w:r>
      <w:r>
        <w:rPr>
          <w:rFonts w:ascii="Times New Roman" w:cs="Times New Roman" w:eastAsia="Times New Roman" w:hAnsi="Times New Roman"/>
          <w:sz w:val="18"/>
          <w:szCs w:val="18"/>
          <w:color w:val="auto"/>
        </w:rPr>
        <w:t xml:space="preserve">”), the Company shall furnish the Sales Agent (but in the case of clause (iv) above, only if the Company and the Sales Agent reasonably determine that the information contained in such current report on Form 6-K of the Company is material) within three (3) Trading Days after each Representation Date with a certificate, substantially in the form attached hereto as </w:t>
      </w:r>
      <w:r>
        <w:rPr>
          <w:rFonts w:ascii="Times New Roman" w:cs="Times New Roman" w:eastAsia="Times New Roman" w:hAnsi="Times New Roman"/>
          <w:sz w:val="18"/>
          <w:szCs w:val="18"/>
          <w:u w:val="single" w:color="auto"/>
          <w:color w:val="auto"/>
        </w:rPr>
        <w:t>Exhibit 7(m)</w:t>
      </w:r>
      <w:r>
        <w:rPr>
          <w:rFonts w:ascii="Times New Roman" w:cs="Times New Roman" w:eastAsia="Times New Roman" w:hAnsi="Times New Roman"/>
          <w:sz w:val="18"/>
          <w:szCs w:val="18"/>
          <w:color w:val="auto"/>
        </w:rPr>
        <w:t xml:space="preserve"> (modified, as necessary, to relate to the Registration Statement and the Prospectus as then amended or supplemented). The requirement to provide a certificate under this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shall be waived for any Representation Date occurring at a time at which no Placement Notice is pending, which waiver shall continue until the earlier to occur of the date the Company delivers a Placement Notice hereunder (which for such period shall be considered a Representation Date) and the next occurring Representation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waiver shall not apply for any Representation Date on which the Company files its annual report on Form 20-F. Notwithstanding the foregoing, if the Company subsequently decides to sell Placement Shares following a Representation Date when the Company relied on such waiver and did not provide the Sales Agent with a certificate under this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then before the Company delivers the Placement Notice or the Sales Agent sells any Placement Shares, the Company shall provide the Sales Agent with a certificate, in the form attached hereto as </w:t>
      </w:r>
      <w:r>
        <w:rPr>
          <w:rFonts w:ascii="Times New Roman" w:cs="Times New Roman" w:eastAsia="Times New Roman" w:hAnsi="Times New Roman"/>
          <w:sz w:val="18"/>
          <w:szCs w:val="18"/>
          <w:u w:val="single" w:color="auto"/>
          <w:color w:val="auto"/>
        </w:rPr>
        <w:t>Exhibit 7(m)</w:t>
      </w:r>
      <w:r>
        <w:rPr>
          <w:rFonts w:ascii="Times New Roman" w:cs="Times New Roman" w:eastAsia="Times New Roman" w:hAnsi="Times New Roman"/>
          <w:sz w:val="18"/>
          <w:szCs w:val="18"/>
          <w:color w:val="auto"/>
        </w:rPr>
        <w:t>, dated the date of the Placement Notice.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656"/>
        <w:spacing w:after="0" w:line="252" w:lineRule="auto"/>
        <w:tabs>
          <w:tab w:leader="none" w:pos="91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w:t>
      </w:r>
      <w:r>
        <w:rPr>
          <w:rFonts w:ascii="Times New Roman" w:cs="Times New Roman" w:eastAsia="Times New Roman" w:hAnsi="Times New Roman"/>
          <w:sz w:val="18"/>
          <w:szCs w:val="18"/>
          <w:color w:val="auto"/>
        </w:rPr>
        <w:t>. On or prior to the date the first Placement Notice is given hereunder, the Company shall cause to be furnished to the Sales Agent (i) the written opinion and negative assurance letter of Loeb &amp; Loeb LLP, as U.S. legal counsel to the Company (“</w:t>
      </w:r>
      <w:r>
        <w:rPr>
          <w:rFonts w:ascii="Times New Roman" w:cs="Times New Roman" w:eastAsia="Times New Roman" w:hAnsi="Times New Roman"/>
          <w:sz w:val="18"/>
          <w:szCs w:val="18"/>
          <w:b w:val="1"/>
          <w:bCs w:val="1"/>
          <w:u w:val="single" w:color="auto"/>
          <w:color w:val="auto"/>
        </w:rPr>
        <w:t>U.S. Counsel</w:t>
      </w:r>
      <w:r>
        <w:rPr>
          <w:rFonts w:ascii="Times New Roman" w:cs="Times New Roman" w:eastAsia="Times New Roman" w:hAnsi="Times New Roman"/>
          <w:sz w:val="18"/>
          <w:szCs w:val="18"/>
          <w:color w:val="auto"/>
        </w:rPr>
        <w:t>”), (ii) the written opinion of Ogier (Cayman) LLP, as Cayman Islands legal counsel to the Company (“</w:t>
      </w:r>
      <w:r>
        <w:rPr>
          <w:rFonts w:ascii="Times New Roman" w:cs="Times New Roman" w:eastAsia="Times New Roman" w:hAnsi="Times New Roman"/>
          <w:sz w:val="18"/>
          <w:szCs w:val="18"/>
          <w:b w:val="1"/>
          <w:bCs w:val="1"/>
          <w:u w:val="single" w:color="auto"/>
          <w:color w:val="auto"/>
        </w:rPr>
        <w:t>Cayman Islands Counsel</w:t>
      </w:r>
      <w:r>
        <w:rPr>
          <w:rFonts w:ascii="Times New Roman" w:cs="Times New Roman" w:eastAsia="Times New Roman" w:hAnsi="Times New Roman"/>
          <w:sz w:val="18"/>
          <w:szCs w:val="18"/>
          <w:color w:val="auto"/>
        </w:rPr>
        <w:t>”) and (iii) the written opinion of Dacheng, as PRC legal counsel to the Company (“</w:t>
      </w:r>
      <w:r>
        <w:rPr>
          <w:rFonts w:ascii="Times New Roman" w:cs="Times New Roman" w:eastAsia="Times New Roman" w:hAnsi="Times New Roman"/>
          <w:sz w:val="18"/>
          <w:szCs w:val="18"/>
          <w:b w:val="1"/>
          <w:bCs w:val="1"/>
          <w:u w:val="single" w:color="auto"/>
          <w:color w:val="auto"/>
        </w:rPr>
        <w:t>PRC Counsel</w:t>
      </w:r>
      <w:r>
        <w:rPr>
          <w:rFonts w:ascii="Times New Roman" w:cs="Times New Roman" w:eastAsia="Times New Roman" w:hAnsi="Times New Roman"/>
          <w:sz w:val="18"/>
          <w:szCs w:val="18"/>
          <w:color w:val="auto"/>
        </w:rPr>
        <w:t>”) (U.S. Counsel, Cayman Islands Counsel and PRC Counsel, together, “</w:t>
      </w:r>
      <w:r>
        <w:rPr>
          <w:rFonts w:ascii="Times New Roman" w:cs="Times New Roman" w:eastAsia="Times New Roman" w:hAnsi="Times New Roman"/>
          <w:sz w:val="18"/>
          <w:szCs w:val="18"/>
          <w:b w:val="1"/>
          <w:bCs w:val="1"/>
          <w:u w:val="single" w:color="auto"/>
          <w:color w:val="auto"/>
        </w:rPr>
        <w:t>Company Counsels</w:t>
      </w:r>
      <w:r>
        <w:rPr>
          <w:rFonts w:ascii="Times New Roman" w:cs="Times New Roman" w:eastAsia="Times New Roman" w:hAnsi="Times New Roman"/>
          <w:sz w:val="18"/>
          <w:szCs w:val="18"/>
          <w:color w:val="auto"/>
        </w:rPr>
        <w:t xml:space="preserve">”), substantially in the forms previously agreed between the Company and the Sales Agent. Thereafter, within three (3) Trading Days after each Representation Date with respect to which the Company is obligated to deliver a certificate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for which no waiver is applicable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7(m)</w:t>
      </w:r>
      <w:r>
        <w:rPr>
          <w:rFonts w:ascii="Times New Roman" w:cs="Times New Roman" w:eastAsia="Times New Roman" w:hAnsi="Times New Roman"/>
          <w:sz w:val="18"/>
          <w:szCs w:val="18"/>
          <w:color w:val="auto"/>
        </w:rPr>
        <w:t xml:space="preserve">, the Company shall cause to be furnished to the Sales Agent the written opinions and negative assurance letters, as applicable, of Company Counsels, substantially in the forms previously agreed between the Company and the Sales Agent, modified, as necessary, to relate to the Registration Statement and the Prospectus as then amended or supplemented;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Company Counsels has previously furnished to the Sales Agent such written opinion and negative assurance of such counsel, in each case substantially in the forms previously agreed between the Company and the Sales Agent, then such counsel may, in respect of any future Representation Date, furnish the Sales Agent with a letter signed by such counsel (each, a “</w:t>
      </w:r>
      <w:r>
        <w:rPr>
          <w:rFonts w:ascii="Times New Roman" w:cs="Times New Roman" w:eastAsia="Times New Roman" w:hAnsi="Times New Roman"/>
          <w:sz w:val="18"/>
          <w:szCs w:val="18"/>
          <w:b w:val="1"/>
          <w:bCs w:val="1"/>
          <w:u w:val="single" w:color="auto"/>
          <w:color w:val="auto"/>
        </w:rPr>
        <w:t>Reliance Letter</w:t>
      </w:r>
      <w:r>
        <w:rPr>
          <w:rFonts w:ascii="Times New Roman" w:cs="Times New Roman" w:eastAsia="Times New Roman" w:hAnsi="Times New Roman"/>
          <w:sz w:val="18"/>
          <w:szCs w:val="18"/>
          <w:color w:val="auto"/>
        </w:rPr>
        <w:t xml:space="preserve">”) in lieu of such written opinion and negative assurance letter of such counsel, as applicable, to the effect that the Sales Agent may rely on the prior written opinion and negative assurance letter of such counsel, as applicable, delivered pursuant to this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xml:space="preserve"> to the same extent as if it were dated the date of such Reliance Letter (except that statements in such prior written opinion and negative assurance letter shall be deemed to relate to the Registration Statement and the Prospectus as amended or supplemented to the date of such Reliance Letter).</w:t>
      </w:r>
    </w:p>
    <w:p>
      <w:pPr>
        <w:spacing w:after="0" w:line="195" w:lineRule="exact"/>
        <w:rPr>
          <w:rFonts w:ascii="Times New Roman" w:cs="Times New Roman" w:eastAsia="Times New Roman" w:hAnsi="Times New Roman"/>
          <w:sz w:val="18"/>
          <w:szCs w:val="18"/>
          <w:color w:val="auto"/>
        </w:rPr>
      </w:pPr>
    </w:p>
    <w:p>
      <w:pPr>
        <w:jc w:val="both"/>
        <w:ind w:firstLine="656"/>
        <w:spacing w:after="0" w:line="253" w:lineRule="auto"/>
        <w:tabs>
          <w:tab w:leader="none" w:pos="94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xml:space="preserve">. On or prior to the date the first Placement Notice is given hereunder and within three (3) Trading Days after each Representation Date with respect to which the Company is obligated to deliver a certificate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for which no waiver is applicable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other than a Representation Date under </w:t>
      </w:r>
      <w:r>
        <w:rPr>
          <w:rFonts w:ascii="Times New Roman" w:cs="Times New Roman" w:eastAsia="Times New Roman" w:hAnsi="Times New Roman"/>
          <w:sz w:val="18"/>
          <w:szCs w:val="18"/>
          <w:u w:val="single" w:color="auto"/>
          <w:color w:val="auto"/>
        </w:rPr>
        <w:t>Section 7(m)(iii)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7(m)(iv)</w:t>
      </w:r>
      <w:r>
        <w:rPr>
          <w:rFonts w:ascii="Times New Roman" w:cs="Times New Roman" w:eastAsia="Times New Roman" w:hAnsi="Times New Roman"/>
          <w:sz w:val="18"/>
          <w:szCs w:val="18"/>
          <w:color w:val="auto"/>
        </w:rPr>
        <w:t xml:space="preserve"> unless with respect to a Representation Date under </w:t>
      </w:r>
      <w:r>
        <w:rPr>
          <w:rFonts w:ascii="Times New Roman" w:cs="Times New Roman" w:eastAsia="Times New Roman" w:hAnsi="Times New Roman"/>
          <w:sz w:val="18"/>
          <w:szCs w:val="18"/>
          <w:u w:val="single" w:color="auto"/>
          <w:color w:val="auto"/>
        </w:rPr>
        <w:t>Section 7(m)(iv)</w:t>
      </w:r>
      <w:r>
        <w:rPr>
          <w:rFonts w:ascii="Times New Roman" w:cs="Times New Roman" w:eastAsia="Times New Roman" w:hAnsi="Times New Roman"/>
          <w:sz w:val="18"/>
          <w:szCs w:val="18"/>
          <w:color w:val="auto"/>
        </w:rPr>
        <w:t xml:space="preserve"> the Sales Agent reasonably requests delivery thereof, the Company shall cause Assentsure PAC to furnish the Sales Agent letter (the “</w:t>
      </w:r>
      <w:r>
        <w:rPr>
          <w:rFonts w:ascii="Times New Roman" w:cs="Times New Roman" w:eastAsia="Times New Roman" w:hAnsi="Times New Roman"/>
          <w:sz w:val="18"/>
          <w:szCs w:val="18"/>
          <w:b w:val="1"/>
          <w:bCs w:val="1"/>
          <w:u w:val="single" w:color="auto"/>
          <w:color w:val="auto"/>
        </w:rPr>
        <w:t>Comfort Letter</w:t>
      </w:r>
      <w:r>
        <w:rPr>
          <w:rFonts w:ascii="Times New Roman" w:cs="Times New Roman" w:eastAsia="Times New Roman" w:hAnsi="Times New Roman"/>
          <w:sz w:val="18"/>
          <w:szCs w:val="18"/>
          <w:color w:val="auto"/>
        </w:rPr>
        <w:t>”), dated the date that the Comfort Letter is delivered, in form and substance reasonably satisfactory to the Sales Agent, as applicable, (i) confirming that it is an independent registered public accounting firm within the meaning of the Securities Act, the Exchange Act and the rules and regulations of the PCAOB and are in compliance with the applicable requirements relating to the qualification of accountants under Rule 2-01 of Regulation S-X of the Commission, (ii) stating, as of such date, the conclusions and findings of such firm with respect to the financial information and other matters ordinarily covered by “comfort letters” to the Sales Agent in connection with registered public offerings (the first such letter, the “</w:t>
      </w:r>
      <w:r>
        <w:rPr>
          <w:rFonts w:ascii="Times New Roman" w:cs="Times New Roman" w:eastAsia="Times New Roman" w:hAnsi="Times New Roman"/>
          <w:sz w:val="18"/>
          <w:szCs w:val="18"/>
          <w:b w:val="1"/>
          <w:bCs w:val="1"/>
          <w:u w:val="single" w:color="auto"/>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Comfort Letter</w:t>
      </w:r>
      <w:r>
        <w:rPr>
          <w:rFonts w:ascii="Times New Roman" w:cs="Times New Roman" w:eastAsia="Times New Roman" w:hAnsi="Times New Roman"/>
          <w:sz w:val="18"/>
          <w:szCs w:val="18"/>
          <w:color w:val="auto"/>
        </w:rPr>
        <w:t>”) and (iii) updating the Initial Comfort Letter with any information that would have been included in the Initial Comfort Letter had it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on such date and modified as necessary to relate to the Registration Statement and the Prospectus, as amended and supplemented to the date of such letter; provided that in no event shall the Comfort Letter include any conclusion or finding with respect to the consolidated financial statements of the Company for the year ended December 31, 2022.</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Chief Financial Officer’s Certificate</w:t>
      </w:r>
      <w:r>
        <w:rPr>
          <w:rFonts w:ascii="Times New Roman" w:cs="Times New Roman" w:eastAsia="Times New Roman" w:hAnsi="Times New Roman"/>
          <w:sz w:val="18"/>
          <w:szCs w:val="18"/>
          <w:color w:val="auto"/>
        </w:rPr>
        <w:t xml:space="preserve">. On or prior to the date the first Placement Notice is given hereunder and within three (3) Trading Days after each subsequent Representation Date with respect to which the Company is obligated to deliver a comfort letter pursuant to </w:t>
      </w:r>
      <w:r>
        <w:rPr>
          <w:rFonts w:ascii="Times New Roman" w:cs="Times New Roman" w:eastAsia="Times New Roman" w:hAnsi="Times New Roman"/>
          <w:sz w:val="18"/>
          <w:szCs w:val="18"/>
          <w:u w:val="single" w:color="auto"/>
          <w:color w:val="auto"/>
        </w:rPr>
        <w:t>Section 7(o)</w:t>
      </w:r>
      <w:r>
        <w:rPr>
          <w:rFonts w:ascii="Times New Roman" w:cs="Times New Roman" w:eastAsia="Times New Roman" w:hAnsi="Times New Roman"/>
          <w:sz w:val="18"/>
          <w:szCs w:val="18"/>
          <w:color w:val="auto"/>
        </w:rPr>
        <w:t xml:space="preserve"> for which no waiver is applicable, the Company shall have delivered to the Sales Agent a certificate executed by the Chief Financial Officer of the Company (“</w:t>
      </w:r>
      <w:r>
        <w:rPr>
          <w:rFonts w:ascii="Times New Roman" w:cs="Times New Roman" w:eastAsia="Times New Roman" w:hAnsi="Times New Roman"/>
          <w:sz w:val="18"/>
          <w:szCs w:val="18"/>
          <w:b w:val="1"/>
          <w:bCs w:val="1"/>
          <w:u w:val="single" w:color="auto"/>
          <w:color w:val="auto"/>
        </w:rPr>
        <w:t>CFO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Certificate</w:t>
      </w:r>
      <w:r>
        <w:rPr>
          <w:rFonts w:ascii="Times New Roman" w:cs="Times New Roman" w:eastAsia="Times New Roman" w:hAnsi="Times New Roman"/>
          <w:sz w:val="18"/>
          <w:szCs w:val="18"/>
          <w:color w:val="auto"/>
        </w:rPr>
        <w:t>”) dated as of such date, in form and substance reasonably satisfactory to the Sales Agent.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656"/>
        <w:spacing w:after="0" w:line="261" w:lineRule="auto"/>
        <w:tabs>
          <w:tab w:leader="none" w:pos="90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Activities</w:t>
      </w:r>
      <w:r>
        <w:rPr>
          <w:rFonts w:ascii="Times New Roman" w:cs="Times New Roman" w:eastAsia="Times New Roman" w:hAnsi="Times New Roman"/>
          <w:sz w:val="18"/>
          <w:szCs w:val="18"/>
          <w:color w:val="auto"/>
        </w:rPr>
        <w:t>. The Company will not, directly or indirectly, (i) take any action designed to cause or result in, or that constitutes or might reasonably be expected to constitute, the stabilization or manipulation of the price of any security of the Company to facilitate the sale or resale of the Class A Ordinary Shares or (ii) sell, bid for, or purchase Class A Ordinary Shares in violation of Regulation M, or pay anyone any compensation for soliciting purchases of the Placement Shares other than the Sales Agent.</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88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will conduct its affairs in such a manner so as to reasonably ensure that it is not and, after giving effect to the offering and sale of the Placement Shares and the application of proceeds therefrom as described in the Prospectus, will not be, an “investment company” within the meaning of such term under the Investment Company Act.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9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and Exchange Act</w:t>
      </w:r>
      <w:r>
        <w:rPr>
          <w:rFonts w:ascii="Times New Roman" w:cs="Times New Roman" w:eastAsia="Times New Roman" w:hAnsi="Times New Roman"/>
          <w:sz w:val="18"/>
          <w:szCs w:val="18"/>
          <w:color w:val="auto"/>
        </w:rPr>
        <w:t>. The Company will use its reasonable best efforts to comply with all requirements imposed upon it by the Securities Act and the Exchange Act as from time to time in force, so far as necessary to permit the continuance of sales of, or dealings in, the Placement Shares as contemplated by the provisions hereof and the Prospectus.</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86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Offer to Sell</w:t>
      </w:r>
      <w:r>
        <w:rPr>
          <w:rFonts w:ascii="Times New Roman" w:cs="Times New Roman" w:eastAsia="Times New Roman" w:hAnsi="Times New Roman"/>
          <w:sz w:val="18"/>
          <w:szCs w:val="18"/>
          <w:color w:val="auto"/>
        </w:rPr>
        <w:t>. Other than the Prospectus and an Issuer Free Writing Prospectus approved in advance by the Company and the Sales Agent in its capacity as principal or agent hereunder, neither the Sales Agent nor the Company (including its agents and representatives, other than the Sales Agent in its capacity as such) will make, use, prepare, authorize, approve or refer to any written communication (as defined in Rule 405 under the Securities Act), required to be filed with the Commission, that constitutes an offer to sell or solicitation of an offer to buy Placement Shares hereunder.</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Sarbanes-Oxley Act</w:t>
      </w:r>
      <w:r>
        <w:rPr>
          <w:rFonts w:ascii="Times New Roman" w:cs="Times New Roman" w:eastAsia="Times New Roman" w:hAnsi="Times New Roman"/>
          <w:sz w:val="17"/>
          <w:szCs w:val="17"/>
          <w:color w:val="auto"/>
        </w:rPr>
        <w:t>. The Company will use its reasonable best efforts to comply with all effective applicable provisions of the Sarbanes-Oxley</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Act.</w:t>
      </w:r>
    </w:p>
    <w:p>
      <w:pPr>
        <w:spacing w:after="0" w:line="206" w:lineRule="exact"/>
        <w:rPr>
          <w:rFonts w:ascii="Times New Roman" w:cs="Times New Roman" w:eastAsia="Times New Roman" w:hAnsi="Times New Roman"/>
          <w:sz w:val="17"/>
          <w:szCs w:val="17"/>
          <w:color w:val="auto"/>
        </w:rPr>
      </w:pPr>
    </w:p>
    <w:p>
      <w:pPr>
        <w:ind w:left="920" w:hanging="264"/>
        <w:spacing w:after="0"/>
        <w:tabs>
          <w:tab w:leader="none" w:pos="9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 Agent</w:t>
      </w:r>
      <w:r>
        <w:rPr>
          <w:rFonts w:ascii="Times New Roman" w:cs="Times New Roman" w:eastAsia="Times New Roman" w:hAnsi="Times New Roman"/>
          <w:sz w:val="17"/>
          <w:szCs w:val="17"/>
          <w:color w:val="auto"/>
        </w:rPr>
        <w:t>. The Company shall maintain, at its sole expense, a transfer agent for its Class A Ordinary Shares and Class B Ordinary Shares.</w:t>
      </w:r>
    </w:p>
    <w:p>
      <w:pPr>
        <w:spacing w:after="0" w:line="237" w:lineRule="exact"/>
        <w:rPr>
          <w:sz w:val="20"/>
          <w:szCs w:val="20"/>
          <w:color w:val="auto"/>
        </w:rPr>
      </w:pPr>
    </w:p>
    <w:p>
      <w:pPr>
        <w:jc w:val="both"/>
        <w:ind w:firstLine="656"/>
        <w:spacing w:after="0" w:line="258" w:lineRule="auto"/>
        <w:tabs>
          <w:tab w:leader="none" w:pos="84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Sales Agent’s Obligations</w:t>
      </w:r>
      <w:r>
        <w:rPr>
          <w:rFonts w:ascii="Times New Roman" w:cs="Times New Roman" w:eastAsia="Times New Roman" w:hAnsi="Times New Roman"/>
          <w:sz w:val="18"/>
          <w:szCs w:val="18"/>
          <w:color w:val="auto"/>
        </w:rPr>
        <w:t>. The obligations of the Sales Agent hereunder with respect to a Placement will be subject to the accuracy and completeness of the representations and warranties made by the Company herein (other than those representations and warranties made as of a specified date or time), to the due performance in all material respects by the Company of its obligations hereunder, to the completion by the Sales Agent of a due diligence review satisfactory to the Sales Agent in its reasonable judgement, and to the continuing satisfaction (or waiver by the Sales Agent in its sole discretion) of the following additional conditions:</w:t>
      </w:r>
    </w:p>
    <w:p>
      <w:pPr>
        <w:spacing w:after="0" w:line="183" w:lineRule="exact"/>
        <w:rPr>
          <w:sz w:val="20"/>
          <w:szCs w:val="20"/>
          <w:color w:val="auto"/>
        </w:rPr>
      </w:pPr>
    </w:p>
    <w:p>
      <w:pPr>
        <w:ind w:right="20" w:firstLine="656"/>
        <w:spacing w:after="0" w:line="282" w:lineRule="auto"/>
        <w:tabs>
          <w:tab w:leader="none" w:pos="90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Effective</w:t>
      </w:r>
      <w:r>
        <w:rPr>
          <w:rFonts w:ascii="Times New Roman" w:cs="Times New Roman" w:eastAsia="Times New Roman" w:hAnsi="Times New Roman"/>
          <w:sz w:val="18"/>
          <w:szCs w:val="18"/>
          <w:color w:val="auto"/>
        </w:rPr>
        <w:t>. The Registration Statement shall be effective and shall be available for the sale of all Placement Shares contemplated to be issued by any Placement Notice.</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91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Filings Made</w:t>
      </w:r>
      <w:r>
        <w:rPr>
          <w:rFonts w:ascii="Times New Roman" w:cs="Times New Roman" w:eastAsia="Times New Roman" w:hAnsi="Times New Roman"/>
          <w:sz w:val="18"/>
          <w:szCs w:val="18"/>
          <w:color w:val="auto"/>
        </w:rPr>
        <w:t>. The Company shall have filed with the Commission the ATM Prospectus pursuant to Rule 424(b) under the Securities Act not later than the Commission’s close of business on the second Business Day following the date of this Agreement. All other filings with the Commission required by Rule 424(b) or Rule 433 under the Securities Act to have been filed prior to the issuance of any Placement Notice hereunder shall have been made within the applicable time period prescribed for such filing by Rule 424(b) (without reliance on Rule 424(b)(8) of the Securities Act) or Rule 433, as applicable.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656"/>
        <w:spacing w:after="0" w:line="253" w:lineRule="auto"/>
        <w:tabs>
          <w:tab w:leader="none" w:pos="90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Notices</w:t>
      </w:r>
      <w:r>
        <w:rPr>
          <w:rFonts w:ascii="Times New Roman" w:cs="Times New Roman" w:eastAsia="Times New Roman" w:hAnsi="Times New Roman"/>
          <w:sz w:val="18"/>
          <w:szCs w:val="18"/>
          <w:color w:val="auto"/>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and (iii) receipt by the Company of any notification with respect to the suspension of the qualification or exemption from qualification of any of the Placement Shares for sale in any jurisdiction or the initiation or threatening of any proceeding for such purpose;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such documents incorporated by reference or specifically incorporated by reference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Material Omission</w:t>
      </w:r>
      <w:r>
        <w:rPr>
          <w:rFonts w:ascii="Times New Roman" w:cs="Times New Roman" w:eastAsia="Times New Roman" w:hAnsi="Times New Roman"/>
          <w:sz w:val="18"/>
          <w:szCs w:val="18"/>
          <w:color w:val="auto"/>
        </w:rPr>
        <w:t>. The Sales Agent shall not have advised the Company that the Registration Statement or Prospectus, or any amendment or supplement thereto, contains an untrue statement of fact that in the Sales Agent’s reasonable opinion is material, or omits to state a fact that in the Sales Agent’s reasonable opinion is material and is required to be stated therein or is necessary to make the statements therein not misleading.</w:t>
      </w:r>
    </w:p>
    <w:p>
      <w:pPr>
        <w:spacing w:after="0" w:line="176" w:lineRule="exact"/>
        <w:rPr>
          <w:sz w:val="20"/>
          <w:szCs w:val="20"/>
          <w:color w:val="auto"/>
        </w:rPr>
      </w:pPr>
    </w:p>
    <w:p>
      <w:pPr>
        <w:jc w:val="both"/>
        <w:ind w:firstLine="656"/>
        <w:spacing w:after="0" w:line="258" w:lineRule="auto"/>
        <w:tabs>
          <w:tab w:leader="none" w:pos="9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w:t>
      </w:r>
      <w:r>
        <w:rPr>
          <w:rFonts w:ascii="Times New Roman" w:cs="Times New Roman" w:eastAsia="Times New Roman" w:hAnsi="Times New Roman"/>
          <w:sz w:val="18"/>
          <w:szCs w:val="18"/>
          <w:color w:val="auto"/>
        </w:rPr>
        <w:t>. Except as contemplated in the Prospectus, or disclosed in the Company’s reports filed with the Commission, there shall not have been any material adverse change in the authorized share capital of the Company or any Material Adverse Change or any development that could reasonably be expected to result in a Material Adverse Change, the effect of which, in the reasonable judgment of the Sales Agent (without relieving the Company of any obligation or liability it may otherwise have), is so material as to make it impracticable or inadvisable to proceed with the offering of the Placement Shares on the terms and in the manner contemplated by this Agreement and the Prospectus.</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89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Certificate</w:t>
      </w:r>
      <w:r>
        <w:rPr>
          <w:rFonts w:ascii="Times New Roman" w:cs="Times New Roman" w:eastAsia="Times New Roman" w:hAnsi="Times New Roman"/>
          <w:sz w:val="18"/>
          <w:szCs w:val="18"/>
          <w:color w:val="auto"/>
        </w:rPr>
        <w:t xml:space="preserve">. The Sales Agent shall have received the certificate required to be delivered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on or before the date on which delivery of such certificate is required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7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xml:space="preserve">. The Sales Agent shall have received the opinions and negative assurance letters of Company Counsels required to be delivered pursuant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xml:space="preserve"> on or before the date on which such delivery of such opinion and negative assurance is required pursuant to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firstLine="656"/>
        <w:spacing w:after="0" w:line="282" w:lineRule="auto"/>
        <w:tabs>
          <w:tab w:leader="none" w:pos="90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xml:space="preserve">. The Sales Agent shall have received the Comfort Letter required to be delivered pursuant </w:t>
      </w:r>
      <w:r>
        <w:rPr>
          <w:rFonts w:ascii="Times New Roman" w:cs="Times New Roman" w:eastAsia="Times New Roman" w:hAnsi="Times New Roman"/>
          <w:sz w:val="18"/>
          <w:szCs w:val="18"/>
          <w:u w:val="single" w:color="auto"/>
          <w:color w:val="auto"/>
        </w:rPr>
        <w:t>Section 7(o)</w:t>
      </w:r>
      <w:r>
        <w:rPr>
          <w:rFonts w:ascii="Times New Roman" w:cs="Times New Roman" w:eastAsia="Times New Roman" w:hAnsi="Times New Roman"/>
          <w:sz w:val="18"/>
          <w:szCs w:val="18"/>
          <w:color w:val="auto"/>
        </w:rPr>
        <w:t xml:space="preserve"> on or before the date on which such delivery of such Comfort Letter is required pursuant to </w:t>
      </w:r>
      <w:r>
        <w:rPr>
          <w:rFonts w:ascii="Times New Roman" w:cs="Times New Roman" w:eastAsia="Times New Roman" w:hAnsi="Times New Roman"/>
          <w:sz w:val="18"/>
          <w:szCs w:val="18"/>
          <w:u w:val="single" w:color="auto"/>
          <w:color w:val="auto"/>
        </w:rPr>
        <w:t>Section 7(o)</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CFO Certificate</w:t>
      </w:r>
      <w:r>
        <w:rPr>
          <w:rFonts w:ascii="Times New Roman" w:cs="Times New Roman" w:eastAsia="Times New Roman" w:hAnsi="Times New Roman"/>
          <w:sz w:val="18"/>
          <w:szCs w:val="18"/>
          <w:color w:val="auto"/>
        </w:rPr>
        <w:t xml:space="preserve">. The Sales Agent shall have received the CFO Certificate required to be delivered pursuant </w:t>
      </w:r>
      <w:r>
        <w:rPr>
          <w:rFonts w:ascii="Times New Roman" w:cs="Times New Roman" w:eastAsia="Times New Roman" w:hAnsi="Times New Roman"/>
          <w:sz w:val="18"/>
          <w:szCs w:val="18"/>
          <w:u w:val="single" w:color="auto"/>
          <w:color w:val="auto"/>
        </w:rPr>
        <w:t>Section 7(p)</w:t>
      </w:r>
      <w:r>
        <w:rPr>
          <w:rFonts w:ascii="Times New Roman" w:cs="Times New Roman" w:eastAsia="Times New Roman" w:hAnsi="Times New Roman"/>
          <w:sz w:val="18"/>
          <w:szCs w:val="18"/>
          <w:color w:val="auto"/>
        </w:rPr>
        <w:t xml:space="preserve"> on or before the date on which such delivery of such CFO Certificate is required pursuant to </w:t>
      </w:r>
      <w:r>
        <w:rPr>
          <w:rFonts w:ascii="Times New Roman" w:cs="Times New Roman" w:eastAsia="Times New Roman" w:hAnsi="Times New Roman"/>
          <w:sz w:val="18"/>
          <w:szCs w:val="18"/>
          <w:u w:val="single" w:color="auto"/>
          <w:color w:val="auto"/>
        </w:rPr>
        <w:t>Section 7(p)</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86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Incumbency Certificate</w:t>
      </w:r>
      <w:r>
        <w:rPr>
          <w:rFonts w:ascii="Times New Roman" w:cs="Times New Roman" w:eastAsia="Times New Roman" w:hAnsi="Times New Roman"/>
          <w:sz w:val="18"/>
          <w:szCs w:val="18"/>
          <w:color w:val="auto"/>
        </w:rPr>
        <w:t>. On or prior to the date the first Placement Notice is given hereunder, the Sales Agent shall have received a certificate, signed on behalf of the Company by an authorized representative of the Company, certifying as to (i) the Articles of the Company (as the same may be amended or restated from time to time), (ii) the resolutions of the Board of Directors of the Company (or a committee thereof) authorizing the execution, delivery and performance of this Agreement and the issuance of the Placement Shares and (iii) the incumbency of the officers duly authorized to execute this Agreement and the other documents contemplated by this Agreement.</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86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Suspension</w:t>
      </w:r>
      <w:r>
        <w:rPr>
          <w:rFonts w:ascii="Times New Roman" w:cs="Times New Roman" w:eastAsia="Times New Roman" w:hAnsi="Times New Roman"/>
          <w:sz w:val="18"/>
          <w:szCs w:val="18"/>
          <w:color w:val="auto"/>
        </w:rPr>
        <w:t>. Trading in the Class A Ordinary Shares are not suspended on the Nasdaq Stock Market and the Class A Ordinary Shares are not delisted from the Nasdaq Stock Market.</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91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Materials</w:t>
      </w:r>
      <w:r>
        <w:rPr>
          <w:rFonts w:ascii="Times New Roman" w:cs="Times New Roman" w:eastAsia="Times New Roman" w:hAnsi="Times New Roman"/>
          <w:sz w:val="18"/>
          <w:szCs w:val="18"/>
          <w:color w:val="auto"/>
        </w:rPr>
        <w:t xml:space="preserve">. On each date on which the Company is required to deliver a certificate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the Company shall have furnished to the Sales Agent such appropriate further opinions, certificates, letters and documents as the Sales Agent may have reasonably requested and which are usually and customarily furnished by an issuer of securities in connection with a securities offering of the type contemplated hereby. All such opinions, certificates, letters and other documents shall have been in compliance with the provisions hereof. The Company will furnish the Sales Agent with such conformed copies of such opinions, certificates, letters and other documents as the Sales Agent shall have reasonably requested.</w:t>
      </w:r>
    </w:p>
    <w:p>
      <w:pPr>
        <w:spacing w:after="0" w:line="183" w:lineRule="exact"/>
        <w:rPr>
          <w:rFonts w:ascii="Times New Roman" w:cs="Times New Roman" w:eastAsia="Times New Roman" w:hAnsi="Times New Roman"/>
          <w:sz w:val="18"/>
          <w:szCs w:val="18"/>
          <w:color w:val="auto"/>
        </w:rPr>
      </w:pPr>
    </w:p>
    <w:p>
      <w:pPr>
        <w:jc w:val="both"/>
        <w:ind w:firstLine="656"/>
        <w:spacing w:after="0" w:line="282" w:lineRule="auto"/>
        <w:tabs>
          <w:tab w:leader="none" w:pos="86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for Listing</w:t>
      </w:r>
      <w:r>
        <w:rPr>
          <w:rFonts w:ascii="Times New Roman" w:cs="Times New Roman" w:eastAsia="Times New Roman" w:hAnsi="Times New Roman"/>
          <w:sz w:val="18"/>
          <w:szCs w:val="18"/>
          <w:color w:val="auto"/>
        </w:rPr>
        <w:t>. The Placement Shares shall either have been (i) approved for listing on the Exchange, subject only to notice of issuance, or (ii) the Company shall have filed an application for listing of the Placement Shares on the Exchange at, or prior to, the issuance of any Placement Notice.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Termination Event</w:t>
      </w:r>
      <w:r>
        <w:rPr>
          <w:rFonts w:ascii="Times New Roman" w:cs="Times New Roman" w:eastAsia="Times New Roman" w:hAnsi="Times New Roman"/>
          <w:sz w:val="18"/>
          <w:szCs w:val="18"/>
          <w:color w:val="auto"/>
        </w:rPr>
        <w:t xml:space="preserve">. There shall not have occurred and be continuing any event that would permit the Sales Agent to terminate this Agreement pursuant to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56"/>
        <w:spacing w:after="0" w:line="266" w:lineRule="auto"/>
        <w:tabs>
          <w:tab w:leader="none" w:pos="90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The Sales Agent shall have received a letter from the Corporate Financing Department of FINRA confirming that such department has been determined to raise no objection with respect to the fairness or reasonableness of the terms and arrangements related to the sale of the Placement Shares pursuant to this Agreement.</w:t>
      </w:r>
    </w:p>
    <w:p>
      <w:pPr>
        <w:spacing w:after="0" w:line="176" w:lineRule="exact"/>
        <w:rPr>
          <w:sz w:val="20"/>
          <w:szCs w:val="20"/>
          <w:color w:val="auto"/>
        </w:rPr>
      </w:pPr>
    </w:p>
    <w:p>
      <w:pPr>
        <w:ind w:left="840" w:hanging="184"/>
        <w:spacing w:after="0"/>
        <w:tabs>
          <w:tab w:leader="none" w:pos="8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2" w:lineRule="auto"/>
        <w:tabs>
          <w:tab w:leader="none" w:pos="90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Indemnification</w:t>
      </w:r>
      <w:r>
        <w:rPr>
          <w:rFonts w:ascii="Times New Roman" w:cs="Times New Roman" w:eastAsia="Times New Roman" w:hAnsi="Times New Roman"/>
          <w:sz w:val="18"/>
          <w:szCs w:val="18"/>
          <w:color w:val="auto"/>
        </w:rPr>
        <w:t xml:space="preserve">. The Company agrees to indemnify and hold harmless the Sales Agent, the directors, officers, members, partners, employees and agents of the Sales Agent each broker dealer affiliate of the Sales Agent, and each Sales Agent Affiliate, if any, from and against any and all losses, claims, liabilities, expenses and damages (including, but not limited to, any and all reasonable and documented investigative, legal and other expenses incurred in connection with, and any and all amounts paid in settlement (in accordance with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of, any action, suit or proceeding between any of the indemnified parties and any indemnifying parties or between any indemnified party and any third party, or otherwise, or any claim asserted), as and when incurred, to which the Sales Agent, or any such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thereto or in any Issuer Free Writing Prospectus or in any application or other document executed by or on behalf of the Company or based on written information furnished by or on behalf of the Company required to be filed in any jurisdiction in order to qualify the Class A Ordinary Shares under the securities laws thereof or filed with the Commission, or (y) the omission or alleged omission to state in any such document a material fact required to be stated in it or necessary to make the statements in it not misleading;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this indemnity agreement shall not apply to the extent that such loss, claim, liability, expense or damage arises from the sale of the Placement Shares pursuant to this Agreement and is caused directly by an untrue statement or omission made in reliance upon and in strict conformity with written information relating to the Sales Agent and furnished to the Company by the Sales Agent expressly for inclusion in any document as described in clause (x) or (y) of this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This indemnity agreement will be in addition to any liability that the Company might otherwise have.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656"/>
        <w:spacing w:after="0" w:line="252" w:lineRule="auto"/>
        <w:tabs>
          <w:tab w:leader="none" w:pos="90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Sales Agent Indemnification</w:t>
      </w:r>
      <w:r>
        <w:rPr>
          <w:rFonts w:ascii="Times New Roman" w:cs="Times New Roman" w:eastAsia="Times New Roman" w:hAnsi="Times New Roman"/>
          <w:sz w:val="18"/>
          <w:szCs w:val="18"/>
          <w:color w:val="auto"/>
        </w:rPr>
        <w:t>. The Sales Agent agrees to indemnify and hold harmless the Company and its directors and each officer of the Company that signed the Registration Statement, and each person, if any, who (i) controls the Company within the meaning of Section 15 of the Securities Act or Section 20 of the Exchange Act or (ii) is controlled by or is under common control with the Company (each, a “</w:t>
      </w:r>
      <w:r>
        <w:rPr>
          <w:rFonts w:ascii="Times New Roman" w:cs="Times New Roman" w:eastAsia="Times New Roman" w:hAnsi="Times New Roman"/>
          <w:sz w:val="18"/>
          <w:szCs w:val="18"/>
          <w:b w:val="1"/>
          <w:bCs w:val="1"/>
          <w:u w:val="single" w:color="auto"/>
          <w:color w:val="auto"/>
        </w:rPr>
        <w:t>Company Affiliate</w:t>
      </w:r>
      <w:r>
        <w:rPr>
          <w:rFonts w:ascii="Times New Roman" w:cs="Times New Roman" w:eastAsia="Times New Roman" w:hAnsi="Times New Roman"/>
          <w:sz w:val="18"/>
          <w:szCs w:val="18"/>
          <w:color w:val="auto"/>
        </w:rPr>
        <w:t xml:space="preserve">”) from and against any and all losses, claims, liabilities, expenses and damages (including, but not limited to, any and all reasonable and documented investigative, legal and other expenses incurred in connection with, and any and all amounts paid in settlement (in accordance with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of, any action, suit or proceeding between any of the indemnified parties and any indemnifying parties or between any indemnified party and any third party, or otherwise, or any claim asserted), as and when incurred, to which any such Company Affiliate,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thereto, or (y) the omission or alleged omission to state in any such document a material fact required to be stated in it or necessary to make the statements in it not misleading; provided, however, that this indemnity agreement shall apply only to the extent that such loss, claim, liability, expense or damage arises from the sale of the Placement Shares pursuant to this Agreement and is caused directly by an untrue statement or omission made in reliance upon and in strict conformity with written information relating to the Sales Agent’s Information. For purposes of this Section, “Sales Agent’s Information” means the written information furnished to the Company by the Sales Agent expressly for use in the Registration Statement, the Prospectus, or any amendment or supplement thereto.</w:t>
      </w:r>
    </w:p>
    <w:p>
      <w:pPr>
        <w:spacing w:after="0" w:line="195" w:lineRule="exact"/>
        <w:rPr>
          <w:rFonts w:ascii="Times New Roman" w:cs="Times New Roman" w:eastAsia="Times New Roman" w:hAnsi="Times New Roman"/>
          <w:sz w:val="18"/>
          <w:szCs w:val="18"/>
          <w:color w:val="auto"/>
        </w:rPr>
      </w:pPr>
    </w:p>
    <w:p>
      <w:pPr>
        <w:jc w:val="both"/>
        <w:ind w:firstLine="656"/>
        <w:spacing w:after="0" w:line="251" w:lineRule="auto"/>
        <w:tabs>
          <w:tab w:leader="none" w:pos="91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xml:space="preserve">. Any party that proposes to assert the right to be indemnified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will, promptly after receipt of notice of commencement of any action against such party in respect of which a claim is to be made against an indemnifying party or parties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notify each such indemnifying party of the commencement of such action, enclosing a copy of all papers served, but the omission to so notify such indemnifying party will not relieve the indemnifying party from (i) any liability that it might have to any indemnified party otherwise than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and (ii) any liability that it may have to any indemnified party under the foregoing provision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reasonably satisfactory to the indemnified party to assume the defense of such action within a reasonable time after receiving notice of the commencement of the action, in each of which cases the reasonable and documented out-of-pocket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and documented out-of-pocket fees, disbursements and other charges of more than one separate firm admitted to practice in such jurisdiction at any one time for all such indemnified party or parties. All such reasonable and documented out-of-pocket fees, disbursements and other charges will be reimbursed by the indemnifying party promptly after the indemnifying party has received a written invoice relating to such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(whether or not any indemnified party is a party thereto), unless such settlement, compromise or consent (1) includes an unconditional release of each indemnified party, in form and substance reasonably satisfactory to such indemnified party, from all liability arising or that may arise out of such claim, action or proceeding and (2) does not include a statement as to or an admission of fault, culpability or a failure to act by or on behalf of an indemnified party.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56"/>
        <w:spacing w:after="0" w:line="251" w:lineRule="auto"/>
        <w:tabs>
          <w:tab w:leader="none" w:pos="93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In order to provide for just and equitable contribution in circumstances in which the indemnification provided for in the foregoing paragraphs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is applicable in accordance with its terms but for any reason is held to be unavailable from the Company or the Sales Agent, the Company and the Sales Agent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or the Sales Agent from persons other than the Company or the Sales Agent, as applicable, such as persons who control the Company or the Sales Agent, as applicable, within the meaning of the Securities Act, and only with respect to the Company, officers of the Company who signed the Registration Statement and directors of the Company, who also may be liable for contribution) to which the Company and the Sales Agent may be subject in such proportion as shall be appropriate to reflect the relative benefits received by the Company on the one hand and the Sales Agent on the other hand. The relative benefits received by the Company on the one hand and the Sales Agent on the other hand shall be deemed to be in the same proportion as the total Net Proceeds from the sale of the Placement Shares (before deducting expenses) received by the Company bear to the total compensation received by the Sales Agent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Sales Agent,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in the case of the Sales Agent, to the Sales Agent’s Information (as defined in Section 9(b)), and not otherwise. The Company and the Sales Agent agree that it would not be just and equitable if contributions pursuant to this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shall be deemed to include, for the purpose of this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any legal or other expenses reasonably incurred by such indemnified party in connection with investigating or defending any such action or claim to the extent consistent with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hereof. Notwithstanding the foregoing provisions of this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the Sales Agent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any person who controls a party to this Agreement within the meaning of the Securities Act will have the same rights to contribution as that party (and any officers, directors, members, partners, employees or agents of the Sales Agent and each broker dealer affiliate of the Sales Agent will have the same rights to contribution as the Sales Agent), and each officer of the Company who signed the Registration Statement and each director of the Company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hereof, no party will be liable for contribution with respect to any action or claim settled without its written consent if such consent is required pursuant to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hereof.</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656"/>
        <w:spacing w:after="0" w:line="258" w:lineRule="auto"/>
        <w:tabs>
          <w:tab w:leader="none" w:pos="93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Agreements to Survive Delivery</w:t>
      </w:r>
      <w:r>
        <w:rPr>
          <w:rFonts w:ascii="Times New Roman" w:cs="Times New Roman" w:eastAsia="Times New Roman" w:hAnsi="Times New Roman"/>
          <w:sz w:val="18"/>
          <w:szCs w:val="18"/>
          <w:color w:val="auto"/>
        </w:rPr>
        <w:t xml:space="preserve">. The indemnity and contribution agreements contained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of this Agreement and all representations and warranties of the Company herein or in certificates delivered pursuant hereto shall survive for a period of five (5) years from their respective dates, regardless of (i) any investigation made by or on behalf of the Sales Agent, any controlling person of the Sales Agent, or the Company (or any of their respective officers, directors, members or controlling persons), (ii) issuance and acceptance of the Placement Shares and payment therefor or (iii) any termination of this Agreement.</w:t>
      </w:r>
    </w:p>
    <w:p>
      <w:pPr>
        <w:spacing w:after="0" w:line="18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2" w:lineRule="auto"/>
        <w:tabs>
          <w:tab w:leader="none" w:pos="91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Sales Agent shall have the right by giving notice as hereinafter specified at any time to terminate this Agreement if (i) any Material Adverse Change, or any development that could reasonably be expected to result in a Material Adverse Change has occurred that, in the reasonable judgment of the Sales Agent, may materially impair the ability of the Sales Agent to sell the Placement Shares hereunder, (ii) the Company shall have failed, refused or been unable to perform any agreement on its part to be performed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in the case of any failure of the Company to deliver (or cause another person to deliver) any certification, opinion, or letter required under </w:t>
      </w:r>
      <w:r>
        <w:rPr>
          <w:rFonts w:ascii="Times New Roman" w:cs="Times New Roman" w:eastAsia="Times New Roman" w:hAnsi="Times New Roman"/>
          <w:sz w:val="18"/>
          <w:szCs w:val="18"/>
          <w:u w:val="single" w:color="auto"/>
          <w:color w:val="auto"/>
        </w:rPr>
        <w:t>Sections 7(m)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7(p)</w:t>
      </w:r>
      <w:r>
        <w:rPr>
          <w:rFonts w:ascii="Times New Roman" w:cs="Times New Roman" w:eastAsia="Times New Roman" w:hAnsi="Times New Roman"/>
          <w:sz w:val="18"/>
          <w:szCs w:val="18"/>
          <w:color w:val="auto"/>
        </w:rPr>
        <w:t xml:space="preserve">, the Sales Agent’s right to terminate shall not arise unless such failure to deliver (or cause to be delivered) continues for more than thirty (30) days from the date such delivery was required, (iii) any other condition of the Sales Agent’s obligations hereunder is not fulfilled, or (iv) any suspension or limitation of trading in the Placement Shares or in securities generally on the Exchange shall have occurred and be continuing (including automatic halt in trading pursuant to market-decline triggers, other than those in which solely program trading is temporarily halted), or a major disruption of securities settlements or clearing services in the United States shall have occurred and be continuing, or minimum prices for trading have been fixed on the Exchange.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7(g)</w:t>
      </w:r>
      <w:r>
        <w:rPr>
          <w:rFonts w:ascii="Times New Roman" w:cs="Times New Roman" w:eastAsia="Times New Roman" w:hAnsi="Times New Roman"/>
          <w:sz w:val="18"/>
          <w:szCs w:val="18"/>
          <w:color w:val="auto"/>
        </w:rPr>
        <w:t xml:space="preserve"> (Expenses),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(Indemnification and Contribution),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(Representations and Agreements to Survive Delivery), </w:t>
      </w:r>
      <w:r>
        <w:rPr>
          <w:rFonts w:ascii="Times New Roman" w:cs="Times New Roman" w:eastAsia="Times New Roman" w:hAnsi="Times New Roman"/>
          <w:sz w:val="18"/>
          <w:szCs w:val="18"/>
          <w:u w:val="single" w:color="auto"/>
          <w:color w:val="auto"/>
        </w:rPr>
        <w:t>Section 11(f)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(Applicable Law; Consent to Jurisdiction) and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(Waiver of Jury Trial) hereof shall remain in full force and effect notwithstanding such termination. If the Sales Agent elects to terminate this Agreement as provided in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the Sales Agent shall provide the required notice as specified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(Notices).</w:t>
      </w:r>
    </w:p>
    <w:p>
      <w:pPr>
        <w:spacing w:after="0" w:line="197" w:lineRule="exact"/>
        <w:rPr>
          <w:rFonts w:ascii="Times New Roman" w:cs="Times New Roman" w:eastAsia="Times New Roman" w:hAnsi="Times New Roman"/>
          <w:sz w:val="18"/>
          <w:szCs w:val="18"/>
          <w:color w:val="auto"/>
        </w:rPr>
      </w:pPr>
    </w:p>
    <w:p>
      <w:pPr>
        <w:jc w:val="both"/>
        <w:ind w:firstLine="656"/>
        <w:spacing w:after="0" w:line="261" w:lineRule="auto"/>
        <w:tabs>
          <w:tab w:leader="none" w:pos="92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by giving fifteen (15) days’ prior written notice as hereinafter specified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7(g)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hereof shall remain in full force and effect notwithstanding such termination.</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90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Sales Agent shall have the right, by giving fifteen (15) days’ prior written notice as hereinafter specified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to terminate this Agreement in its sole discretion at any time after the date of this Agreement. The Sales Agent shall also have the right to terminate this Agreement immediately upon the occurrence of a Material Adverse Effect or certain customary “market-outs.”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7(g)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hereof shall remain in full force and effect notwithstanding such termination.</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90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earlier terminated pursuant to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this Agreement shall automatically terminate upon the earlier to occur of (i) issuance and sale of all of the Placement Shares to or through the Sales Agent on the terms and subject to the conditions set forth herein and (ii) the expiration of the Registration Statement on the third (3rd) anniversary of the initial effective date of the Registration Statement pursuant to Rule 415(a)(5) under the Securities Act; provided that the provisions of </w:t>
      </w:r>
      <w:r>
        <w:rPr>
          <w:rFonts w:ascii="Times New Roman" w:cs="Times New Roman" w:eastAsia="Times New Roman" w:hAnsi="Times New Roman"/>
          <w:sz w:val="18"/>
          <w:szCs w:val="18"/>
          <w:u w:val="single" w:color="auto"/>
          <w:color w:val="auto"/>
        </w:rPr>
        <w:t>Section 7(g)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hereof shall remain in full force and effect notwithstanding such termination.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656"/>
        <w:spacing w:after="0" w:line="266" w:lineRule="auto"/>
        <w:tabs>
          <w:tab w:leader="none" w:pos="89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remain in full force and effect unless terminated pursuant to </w:t>
      </w:r>
      <w:r>
        <w:rPr>
          <w:rFonts w:ascii="Times New Roman" w:cs="Times New Roman" w:eastAsia="Times New Roman" w:hAnsi="Times New Roman"/>
          <w:sz w:val="18"/>
          <w:szCs w:val="18"/>
          <w:u w:val="single" w:color="auto"/>
          <w:color w:val="auto"/>
        </w:rPr>
        <w:t>Sections 11(a)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or otherwise by mutual agreement of the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such termination by mutual agreement shall in all cases be deemed to provide that </w:t>
      </w:r>
      <w:r>
        <w:rPr>
          <w:rFonts w:ascii="Times New Roman" w:cs="Times New Roman" w:eastAsia="Times New Roman" w:hAnsi="Times New Roman"/>
          <w:sz w:val="18"/>
          <w:szCs w:val="18"/>
          <w:u w:val="single" w:color="auto"/>
          <w:color w:val="auto"/>
        </w:rPr>
        <w:t>Section 7(g)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shall remain in full force and effect.</w:t>
      </w:r>
    </w:p>
    <w:p>
      <w:pPr>
        <w:spacing w:after="0" w:line="173" w:lineRule="exact"/>
        <w:rPr>
          <w:rFonts w:ascii="Times New Roman" w:cs="Times New Roman" w:eastAsia="Times New Roman" w:hAnsi="Times New Roman"/>
          <w:sz w:val="18"/>
          <w:szCs w:val="18"/>
          <w:color w:val="auto"/>
        </w:rPr>
      </w:pPr>
    </w:p>
    <w:p>
      <w:pPr>
        <w:jc w:val="both"/>
        <w:ind w:firstLine="656"/>
        <w:spacing w:after="0" w:line="261" w:lineRule="auto"/>
        <w:tabs>
          <w:tab w:leader="none" w:pos="90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termination of this Agreement shall be effective on the date specified in such notice of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termination shall not be effective until the close of business on the date of receipt of such notice by the Sales Agent or the Company, as the case may be. If such termination shall occur prior to the Settlement Date for any sale of Placement Shares, such termination shall not become effective until the close of business on such Settlement Date and such Placement Shares shall settle in accordance with the provisions of this Agreement.</w:t>
      </w:r>
    </w:p>
    <w:p>
      <w:pPr>
        <w:spacing w:after="0" w:line="182" w:lineRule="exact"/>
        <w:rPr>
          <w:sz w:val="20"/>
          <w:szCs w:val="20"/>
          <w:color w:val="auto"/>
        </w:rPr>
      </w:pPr>
    </w:p>
    <w:p>
      <w:pPr>
        <w:ind w:firstLine="656"/>
        <w:spacing w:after="0" w:line="282" w:lineRule="auto"/>
        <w:tabs>
          <w:tab w:leader="none" w:pos="91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required or permitted to be given by any party to any other party pursuant to the terms of this Agreement shall be in writing, unless otherwise specified, and if sent to the Sales Agent, shall be delivered to: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AC Sunshine Securities LLC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200 E. Robinson Street, Suite 295</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Orlando, FL 32801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Dr. Ying Cui</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acsib@acsunshine.com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K&amp;L Gates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200 S. Biscayne Blvd., Suite 3900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Miami, Florida 33131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Clayton Parker and Erin Fogarty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clayton.parker@klgates.com; erin.fogarty@klgates.com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if to the Company, shall be delivered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Chanson International Holding</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B9 Xinjiang Chuangbo Zhigu Industrial Park</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 100 Guangyuan Road, Shuimogou District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Urumqi, Xinjiang, People’s Republic of China 830017</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Gang Li</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Gang.Li@chansoninternational.com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2206-19 Jardine House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Connaught Place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Central, Hong Kong SAR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Henry Yin, Esq.</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Benjamin Yao, Esq.</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henry.yin@loeb.com, byao@loeb.com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901 New York Avenue, NW</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Suite 300 West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Washington, DC 20001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Joan S. Guilfoyle, Esq.</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jguilfoyle@loeb.com</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party may change such address for notices by sending to the other party to this Agreement written notice of a new address for such purpose. Each such notice or other communication shall be deemed given (i) when delivered personally or by email on or before 4:30 p.m., New York City time, on a Business Day or, if such day is not a Business Day, on the next succeeding Business Day, (ii) on the second Business Day after timely delivery to a U.S. nationally-recognized overnight courier and (iii) on the Business Day actually received if deposited in the U.S. mail (certified or registered mail, return receipt requested, postage prepaid). For purposes of this Agreement, “</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shall mean any day on which the Exchange and commercial banks in the City of New York are open for business.</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An electronic communication (“</w:t>
      </w:r>
      <w:r>
        <w:rPr>
          <w:rFonts w:ascii="Times New Roman" w:cs="Times New Roman" w:eastAsia="Times New Roman" w:hAnsi="Times New Roman"/>
          <w:sz w:val="18"/>
          <w:szCs w:val="18"/>
          <w:b w:val="1"/>
          <w:bCs w:val="1"/>
          <w:u w:val="single" w:color="auto"/>
          <w:color w:val="auto"/>
        </w:rPr>
        <w:t>Electronic Notice</w:t>
      </w:r>
      <w:r>
        <w:rPr>
          <w:rFonts w:ascii="Times New Roman" w:cs="Times New Roman" w:eastAsia="Times New Roman" w:hAnsi="Times New Roman"/>
          <w:sz w:val="18"/>
          <w:szCs w:val="18"/>
          <w:color w:val="auto"/>
        </w:rPr>
        <w:t xml:space="preserve">”) shall be deemed written notice for purposes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if sent to the electronic mail address in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hereof. Electronic Notice shall be deemed received at the time the party sending Electronic Notice receives confirmation of receipt by the receiving party (other than pursuant to auto-reply). Any party receiving Electronic Notice may request and shall be entitled to receive the notice on paper, in a nonelectronic form (“</w:t>
      </w:r>
      <w:r>
        <w:rPr>
          <w:rFonts w:ascii="Times New Roman" w:cs="Times New Roman" w:eastAsia="Times New Roman" w:hAnsi="Times New Roman"/>
          <w:sz w:val="18"/>
          <w:szCs w:val="18"/>
          <w:b w:val="1"/>
          <w:bCs w:val="1"/>
          <w:u w:val="single" w:color="auto"/>
          <w:color w:val="auto"/>
        </w:rPr>
        <w:t>Nonelectronic Notice</w:t>
      </w:r>
      <w:r>
        <w:rPr>
          <w:rFonts w:ascii="Times New Roman" w:cs="Times New Roman" w:eastAsia="Times New Roman" w:hAnsi="Times New Roman"/>
          <w:sz w:val="18"/>
          <w:szCs w:val="18"/>
          <w:color w:val="auto"/>
        </w:rPr>
        <w:t>”), which shall be sent to the requesting party within ten (10) days of receipt of the written request for Nonelectronic Notice.</w:t>
      </w:r>
    </w:p>
    <w:p>
      <w:pPr>
        <w:spacing w:after="0" w:line="183" w:lineRule="exact"/>
        <w:rPr>
          <w:sz w:val="20"/>
          <w:szCs w:val="20"/>
          <w:color w:val="auto"/>
        </w:rPr>
      </w:pPr>
    </w:p>
    <w:p>
      <w:pPr>
        <w:jc w:val="both"/>
        <w:ind w:firstLine="656"/>
        <w:spacing w:after="0" w:line="255" w:lineRule="auto"/>
        <w:tabs>
          <w:tab w:leader="none" w:pos="94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inure to the benefit of and be binding upon the Company and the Sales Agent and their respective successors and permitted assigns and, as to </w:t>
      </w:r>
      <w:r>
        <w:rPr>
          <w:rFonts w:ascii="Times New Roman" w:cs="Times New Roman" w:eastAsia="Times New Roman" w:hAnsi="Times New Roman"/>
          <w:sz w:val="18"/>
          <w:szCs w:val="18"/>
          <w:u w:val="single" w:color="auto"/>
          <w:color w:val="auto"/>
        </w:rPr>
        <w:t>Sections 5(b)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the other indemnified parties specified therein. References to any of the parties contained in this Agreement shall be deemed to include the successors and permitted assigns of such party. Nothing in this Agreement, express or implied, is intended to confer upon any other person any rights, remedies, obligations or liabilities under or by reason of this Agreement, except as expressly provided in this Agreement. Neither party may assign its rights or obligations under this Agreement without the prior written consent of the other party; provided, however, that the Sales Agent may assign its rights and obligations hereunder to an affiliate of the Sales Agent without obtaining the Company’s consent, so long as such affiliate is a registered broker-dealer.</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Share Splits</w:t>
      </w:r>
      <w:r>
        <w:rPr>
          <w:rFonts w:ascii="Times New Roman" w:cs="Times New Roman" w:eastAsia="Times New Roman" w:hAnsi="Times New Roman"/>
          <w:sz w:val="18"/>
          <w:szCs w:val="18"/>
          <w:color w:val="auto"/>
        </w:rPr>
        <w:t>. The parties acknowledge and agree that all share-related numbers contained in this Agreement shall be adjusted to take into account any share split, share dividend, change in ratio of the Class A Ordinary Shares or similar event effected with respect to the Class A Ordinary Shares.</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93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 Severability</w:t>
      </w:r>
      <w:r>
        <w:rPr>
          <w:rFonts w:ascii="Times New Roman" w:cs="Times New Roman" w:eastAsia="Times New Roman" w:hAnsi="Times New Roman"/>
          <w:sz w:val="18"/>
          <w:szCs w:val="18"/>
          <w:color w:val="auto"/>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Sales Agent.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656"/>
        <w:spacing w:after="0" w:line="254" w:lineRule="auto"/>
        <w:tabs>
          <w:tab w:leader="none" w:pos="93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 Consent to Jurisdiction</w:t>
      </w:r>
      <w:r>
        <w:rPr>
          <w:rFonts w:ascii="Times New Roman" w:cs="Times New Roman" w:eastAsia="Times New Roman" w:hAnsi="Times New Roman"/>
          <w:sz w:val="18"/>
          <w:szCs w:val="18"/>
          <w:color w:val="auto"/>
        </w:rPr>
        <w:t>. This Agreement shall be governed by, and construed in accordance with, the internal laws of the State of New York, without regard to the principles of conflicts of laws.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The Company and the Sales Agent each hereby irrevocably waive any right it may have to a trial by jury in respect of any claim based upon or arising out of this Agreement or any transaction contemplated hereby.</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Fiduciary Relationship</w:t>
      </w:r>
      <w:r>
        <w:rPr>
          <w:rFonts w:ascii="Times New Roman" w:cs="Times New Roman" w:eastAsia="Times New Roman" w:hAnsi="Times New Roman"/>
          <w:sz w:val="18"/>
          <w:szCs w:val="18"/>
          <w:color w:val="auto"/>
        </w:rPr>
        <w:t>. The Company acknowledges and agrees that:</w:t>
      </w:r>
    </w:p>
    <w:p>
      <w:pPr>
        <w:spacing w:after="0" w:line="225" w:lineRule="exact"/>
        <w:rPr>
          <w:sz w:val="20"/>
          <w:szCs w:val="20"/>
          <w:color w:val="auto"/>
        </w:rPr>
      </w:pPr>
    </w:p>
    <w:p>
      <w:pPr>
        <w:jc w:val="both"/>
        <w:ind w:firstLine="656"/>
        <w:spacing w:after="0" w:line="256" w:lineRule="auto"/>
        <w:tabs>
          <w:tab w:leader="none" w:pos="89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Agent is acting solely as agent in connection with the sale of the Placement Shares contemplated by this Agreement and the process leading to such transactions, and no fiduciary or advisory relationship between the Company or any of its respective affiliates, shareholders (or other equity holders), creditors or employees or any other party, on the one hand, and the Sales Agent, on the other hand, has been or will be created in respect of any of the transactions contemplated by this Agreement, irrespective of whether the Sales Agent has advised or is advising the Company on other matters, and the Sales Agent has no obligation to the Company with respect to the transactions contemplated by this Agreement, except the obligations expressly set forth in this Agreement;</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93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capable of evaluating and understanding and understands and accepts the terms, risks and conditions of the transactions contemplated by this Agreement;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2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Agent has not provided any legal, accounting, regulatory or tax advice with respect to the transactions contemplated by this Agreement, and the Company has consulted its own legal, accounting, regulatory and tax advisors to the extent it has deemed appropriate;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advised and is aware that the Sales Agent and its affiliates are engaged in a broad range of transactions which may involve interests that differ from those of the Company and that the Sales Agent has no obligation to disclose such interests and transactions to the Company by virtue of any fiduciary, advisory or agency relationship; and</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0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waives, to the fullest extent permitted by law, any claims it may have against the Sales Agent, for breach of fiduciary duty or alleged breach of fiduciary duty in connection with the transactions contemplated by this Agreement and agrees that the Sales Agent shall have no liability (whether direct or indirect, in contract, tort or otherwise) to the Company in respect of such a fiduciary claim or to any person asserting a fiduciary duty claim on behalf of or in right of the Company, including shareholders, partners, employees or creditors of the Company.</w:t>
      </w:r>
    </w:p>
    <w:p>
      <w:pPr>
        <w:spacing w:after="0" w:line="180" w:lineRule="exact"/>
        <w:rPr>
          <w:sz w:val="20"/>
          <w:szCs w:val="20"/>
          <w:color w:val="auto"/>
        </w:rPr>
      </w:pPr>
    </w:p>
    <w:p>
      <w:pPr>
        <w:jc w:val="both"/>
        <w:ind w:firstLine="656"/>
        <w:spacing w:after="0" w:line="266" w:lineRule="auto"/>
        <w:tabs>
          <w:tab w:leader="none" w:pos="94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Information</w:t>
      </w:r>
      <w:r>
        <w:rPr>
          <w:rFonts w:ascii="Times New Roman" w:cs="Times New Roman" w:eastAsia="Times New Roman" w:hAnsi="Times New Roman"/>
          <w:sz w:val="18"/>
          <w:szCs w:val="18"/>
          <w:color w:val="auto"/>
        </w:rPr>
        <w:t>. The Sales Agent may not provide any information gained in connection with this Agreement and the transactions contemplated by this Agreement, including due diligence, to any third party other than its legal counsel advising it on this Agreement unless expressly approved by the Company in writing.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656"/>
        <w:spacing w:after="0" w:line="256" w:lineRule="auto"/>
        <w:tabs>
          <w:tab w:leader="none" w:pos="93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Delivery of an executed Agreement by one party to the other may be made by email transmission. Counterparts of this Agreement, and any documents delivered pursuant hereto or in connection herewith, may be delivered via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93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Headings; Knowledge of the Company</w:t>
      </w:r>
      <w:r>
        <w:rPr>
          <w:rFonts w:ascii="Times New Roman" w:cs="Times New Roman" w:eastAsia="Times New Roman" w:hAnsi="Times New Roman"/>
          <w:sz w:val="18"/>
          <w:szCs w:val="18"/>
          <w:color w:val="auto"/>
        </w:rPr>
        <w:t>. The section and exhibit headings herein are for convenience only and shall not affect the construction hereof. All references in this Agreement to the “knowledge of the Company” or the “Company’s knowledge” or similar qualifiers shall mean the actual knowledge of the directors and officers of the Company, after due inquiry.</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1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Immunity</w:t>
      </w:r>
      <w:r>
        <w:rPr>
          <w:rFonts w:ascii="Times New Roman" w:cs="Times New Roman" w:eastAsia="Times New Roman" w:hAnsi="Times New Roman"/>
          <w:sz w:val="18"/>
          <w:szCs w:val="18"/>
          <w:color w:val="auto"/>
        </w:rPr>
        <w:t>. To the extent that the Company has or hereafter may acquire any immunity (sovereign or otherwise) from jurisdiction of any court of (i) the Cayman Islands, or any political subdivision thereof, (ii) the United States or the State of New York, or (iii) any jurisdiction in which it owns or leases property or assets or from any legal process (whether through service of notice, attachment prior to judgment, attachment in aid of execution, execution, set-off or otherwise) with respect to themselves or their respective property and assets or this Agreement, the Company hereby irrevocably waives such immunity in respect of its obligations under this Agreement to the fullest extent permitted by applicable law.</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91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Agent for Service</w:t>
      </w:r>
      <w:r>
        <w:rPr>
          <w:rFonts w:ascii="Times New Roman" w:cs="Times New Roman" w:eastAsia="Times New Roman" w:hAnsi="Times New Roman"/>
          <w:sz w:val="18"/>
          <w:szCs w:val="18"/>
          <w:color w:val="auto"/>
        </w:rPr>
        <w:t>. The Company hereby irrevocably appoints George Chanson (NY) Corp. as its agent for service of process in any suit, action or proceeding described in Section 16 and agrees that service of process in any suit, action or proceeding may be made upon it at the office of such agent. The Company waives, to the fullest extent permitted by law, any other requirements of or objections to personal jurisdiction with respect thereto. The Company represents and warrants that such agent has agreed to act as the Company’s agent for service of process, and the Company agrees to take any and all action, including the filing of any and all documents and instruments, that may be necessary to continue such appointment in full force and effect.</w:t>
      </w:r>
    </w:p>
    <w:p>
      <w:pPr>
        <w:spacing w:after="0" w:line="18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 has the meaning set forth below:</w:t>
      </w:r>
    </w:p>
    <w:p>
      <w:pPr>
        <w:spacing w:after="0" w:line="223" w:lineRule="exact"/>
        <w:rPr>
          <w:sz w:val="20"/>
          <w:szCs w:val="20"/>
          <w:color w:val="auto"/>
        </w:rPr>
      </w:pPr>
    </w:p>
    <w:p>
      <w:pPr>
        <w:ind w:right="20" w:firstLine="656"/>
        <w:spacing w:after="0" w:line="284" w:lineRule="auto"/>
        <w:tabs>
          <w:tab w:leader="none" w:pos="89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Applicable Time</w:t>
      </w:r>
      <w:r>
        <w:rPr>
          <w:rFonts w:ascii="Times New Roman" w:cs="Times New Roman" w:eastAsia="Times New Roman" w:hAnsi="Times New Roman"/>
          <w:sz w:val="18"/>
          <w:szCs w:val="18"/>
          <w:color w:val="auto"/>
        </w:rPr>
        <w:t>” means the date of this Agreement, each Representation Date, each date on which a Placement Notice is given, each Point of Sale, and each Settlement Date.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correctly sets forth the understanding between the Company and the Sales Agent, please so indicate in the space provided below for that purpose, whereupon this letter shall constitute a binding agreement between the Company and the Sales Agent.</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CHANSON INTERNATIONAL HOLDING</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Gang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Gang Li</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Director and CEO</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ACCEPTED AND AGREED</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as of the date first-above written:</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AC SUNSHINE SECURITIES LLC</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Ying Cui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Ying Cui</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CEO</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Sales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SCHEDULE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Placement Notice</w:t>
      </w:r>
    </w:p>
    <w:p>
      <w:pPr>
        <w:sectPr>
          <w:pgSz w:w="11900" w:h="16838" w:orient="portrait"/>
          <w:cols w:equalWidth="0" w:num="1">
            <w:col w:w="11240"/>
          </w:cols>
          <w:pgMar w:left="320" w:top="900" w:right="339" w:bottom="1440" w:gutter="0" w:footer="0" w:header="0"/>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From:</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Chanson International Holding</w:t>
      </w:r>
    </w:p>
    <w:p>
      <w:pPr>
        <w:spacing w:after="0" w:line="200" w:lineRule="exact"/>
        <w:rPr>
          <w:sz w:val="20"/>
          <w:szCs w:val="20"/>
          <w:color w:val="auto"/>
        </w:rPr>
      </w:pPr>
    </w:p>
    <w:p>
      <w:pPr>
        <w:sectPr>
          <w:pgSz w:w="11900" w:h="16838" w:orient="portrait"/>
          <w:cols w:equalWidth="0" w:num="2">
            <w:col w:w="1240" w:space="720"/>
            <w:col w:w="9280"/>
          </w:cols>
          <w:pgMar w:left="320" w:top="900"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 Sunshine Securities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w:t>
      </w:r>
    </w:p>
    <w:p>
      <w:pPr>
        <w:spacing w:after="0" w:line="200" w:lineRule="exact"/>
        <w:rPr>
          <w:sz w:val="20"/>
          <w:szCs w:val="20"/>
          <w:color w:val="auto"/>
        </w:rPr>
      </w:pPr>
    </w:p>
    <w:p>
      <w:pPr>
        <w:sectPr>
          <w:pgSz w:w="11900" w:h="16838" w:orient="portrait"/>
          <w:cols w:equalWidth="0" w:num="2">
            <w:col w:w="1240" w:space="720"/>
            <w:col w:w="9280"/>
          </w:cols>
          <w:pgMar w:left="320" w:top="900"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Placement Notice</w:t>
      </w:r>
    </w:p>
    <w:p>
      <w:pPr>
        <w:spacing w:after="0" w:line="211" w:lineRule="exact"/>
        <w:rPr>
          <w:sz w:val="20"/>
          <w:szCs w:val="20"/>
          <w:color w:val="auto"/>
        </w:rPr>
      </w:pPr>
    </w:p>
    <w:p>
      <w:pPr>
        <w:sectPr>
          <w:pgSz w:w="11900" w:h="16838" w:orient="portrait"/>
          <w:cols w:equalWidth="0" w:num="2">
            <w:col w:w="1240" w:space="720"/>
            <w:col w:w="9280"/>
          </w:cols>
          <w:pgMar w:left="3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w:t>
      </w:r>
    </w:p>
    <w:p>
      <w:pPr>
        <w:spacing w:after="0" w:line="211" w:lineRule="exact"/>
        <w:rPr>
          <w:sz w:val="20"/>
          <w:szCs w:val="20"/>
          <w:color w:val="auto"/>
        </w:rPr>
      </w:pPr>
    </w:p>
    <w:p>
      <w:pPr>
        <w:sectPr>
          <w:pgSz w:w="11900" w:h="16838" w:orient="portrait"/>
          <w:cols w:equalWidth="0" w:num="2">
            <w:col w:w="1240" w:space="720"/>
            <w:col w:w="9280"/>
          </w:cols>
          <w:pgMar w:left="320" w:top="900" w:right="339" w:bottom="1440" w:gutter="0" w:footer="0" w:header="0"/>
          <w:type w:val="continuous"/>
        </w:sectPr>
      </w:pP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Pursuant to the terms and subject to the conditions contained in the Sales Agreement (the “</w:t>
      </w:r>
      <w:r>
        <w:rPr>
          <w:rFonts w:ascii="Times New Roman" w:cs="Times New Roman" w:eastAsia="Times New Roman" w:hAnsi="Times New Roman"/>
          <w:sz w:val="18"/>
          <w:szCs w:val="18"/>
          <w:b w:val="1"/>
          <w:bCs w:val="1"/>
          <w:u w:val="single" w:color="auto"/>
          <w:color w:val="auto"/>
        </w:rPr>
        <w:t>Sales Agreement</w:t>
      </w:r>
      <w:r>
        <w:rPr>
          <w:rFonts w:ascii="Times New Roman" w:cs="Times New Roman" w:eastAsia="Times New Roman" w:hAnsi="Times New Roman"/>
          <w:sz w:val="18"/>
          <w:szCs w:val="18"/>
          <w:color w:val="auto"/>
        </w:rPr>
        <w:t>”) between Chanson International Holding, an exempted company incorporated under the laws of the Cayman Islands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AC Sunshine Securities LLC (the “</w:t>
      </w:r>
      <w:r>
        <w:rPr>
          <w:rFonts w:ascii="Times New Roman" w:cs="Times New Roman" w:eastAsia="Times New Roman" w:hAnsi="Times New Roman"/>
          <w:sz w:val="18"/>
          <w:szCs w:val="18"/>
          <w:b w:val="1"/>
          <w:bCs w:val="1"/>
          <w:u w:val="single" w:color="auto"/>
          <w:color w:val="auto"/>
        </w:rPr>
        <w:t>Sales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color w:val="auto"/>
        </w:rPr>
        <w:t>”), dated January 6, 2026, the Company hereby requests that the Sales Agent sell up to [●] Class A Ordinary Shares of the Company, par value $0.08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 share, (the “</w:t>
      </w:r>
      <w:r>
        <w:rPr>
          <w:rFonts w:ascii="Times New Roman" w:cs="Times New Roman" w:eastAsia="Times New Roman" w:hAnsi="Times New Roman"/>
          <w:sz w:val="18"/>
          <w:szCs w:val="18"/>
          <w:b w:val="1"/>
          <w:bCs w:val="1"/>
          <w:u w:val="single" w:color="auto"/>
          <w:color w:val="auto"/>
        </w:rPr>
        <w:t>Placement Shares</w:t>
      </w:r>
      <w:r>
        <w:rPr>
          <w:rFonts w:ascii="Times New Roman" w:cs="Times New Roman" w:eastAsia="Times New Roman" w:hAnsi="Times New Roman"/>
          <w:sz w:val="18"/>
          <w:szCs w:val="18"/>
          <w:color w:val="auto"/>
        </w:rPr>
        <w:t>”), at a minimum market price of $[●] per share, during the time period beginning [month, day, time] and ending [month, day, time] [and with no more than [●] Placement Shares sold in any one Trading Day].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Company may include such other sale parameters as it deems appropriate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and not defined herein shall have the respective meanings assigned to them in the Sales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SCHEDULE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Gang Li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2206-19 Jardine House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Connaught Place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Central, Hong Kong SAR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Henry Yin, Esq.</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Benjamin Yao, Esq.</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henry.yin@loeb.com, byao@loeb.com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901 New York Avenue, NW</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Suite 300 West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Washington, DC 20001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Joan S. Guilfoyle, Esq.</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jguilfoyle@loeb.com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SALES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Ying Cui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K&amp;L Gates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200 S. Biscayne Blvd., Suite 3900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Miami, Florida 33131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Clayton Parker Esq.; Erin Fogarty, Esq.</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clayton.parker@klgates.com; erin.fogarty@klgates.com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SCHEDULE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shall pay to the Sales Agent in cash, upon each sale of Placement Shares through the Sales Agent pursuant to this Agreement, an amount equal to 3.0% of the aggregate gross proceeds from each sale of Placement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7(M)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OFFICER CERTIFICATE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The undersigned, the duly qualified and appointed _____________________ of Chanson International Holding, an exempted company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incorporated under the laws of the Cayman Islands (the “</w:t>
      </w:r>
      <w:r>
        <w:rPr>
          <w:rFonts w:ascii="Times New Roman" w:cs="Times New Roman" w:eastAsia="Times New Roman" w:hAnsi="Times New Roman"/>
          <w:sz w:val="18"/>
          <w:szCs w:val="18"/>
          <w:b w:val="1"/>
          <w:bCs w:val="1"/>
          <w:i w:val="1"/>
          <w:iCs w:val="1"/>
          <w:u w:val="single" w:color="auto"/>
          <w:color w:val="auto"/>
        </w:rPr>
        <w:t>Company</w:t>
      </w:r>
      <w:r>
        <w:rPr>
          <w:rFonts w:ascii="Times New Roman" w:cs="Times New Roman" w:eastAsia="Times New Roman" w:hAnsi="Times New Roman"/>
          <w:sz w:val="18"/>
          <w:szCs w:val="18"/>
          <w:i w:val="1"/>
          <w:iCs w:val="1"/>
          <w:color w:val="auto"/>
        </w:rPr>
        <w:t>”), does hereby certify in such capacity and on behalf of the Company,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Section 7(m)</w:t>
      </w:r>
      <w:r>
        <w:rPr>
          <w:rFonts w:ascii="Times New Roman" w:cs="Times New Roman" w:eastAsia="Times New Roman" w:hAnsi="Times New Roman"/>
          <w:sz w:val="18"/>
          <w:szCs w:val="18"/>
          <w:i w:val="1"/>
          <w:iCs w:val="1"/>
          <w:color w:val="auto"/>
        </w:rPr>
        <w:t xml:space="preserve"> of the Sales Agreement, dated January 6, 2026 (the “</w:t>
      </w:r>
      <w:r>
        <w:rPr>
          <w:rFonts w:ascii="Times New Roman" w:cs="Times New Roman" w:eastAsia="Times New Roman" w:hAnsi="Times New Roman"/>
          <w:sz w:val="18"/>
          <w:szCs w:val="18"/>
          <w:b w:val="1"/>
          <w:bCs w:val="1"/>
          <w:i w:val="1"/>
          <w:iCs w:val="1"/>
          <w:u w:val="single" w:color="auto"/>
          <w:color w:val="auto"/>
        </w:rPr>
        <w:t>Sales Agreement</w:t>
      </w:r>
      <w:r>
        <w:rPr>
          <w:rFonts w:ascii="Times New Roman" w:cs="Times New Roman" w:eastAsia="Times New Roman" w:hAnsi="Times New Roman"/>
          <w:sz w:val="18"/>
          <w:szCs w:val="18"/>
          <w:i w:val="1"/>
          <w:iCs w:val="1"/>
          <w:color w:val="auto"/>
        </w:rPr>
        <w:t>”), between the Company and AC Sunshine Securities LLC, that:</w:t>
      </w:r>
    </w:p>
    <w:p>
      <w:pPr>
        <w:spacing w:after="0" w:line="207" w:lineRule="exact"/>
        <w:rPr>
          <w:sz w:val="20"/>
          <w:szCs w:val="20"/>
          <w:color w:val="auto"/>
        </w:rPr>
      </w:pPr>
    </w:p>
    <w:p>
      <w:pPr>
        <w:jc w:val="both"/>
        <w:ind w:left="340" w:hanging="332"/>
        <w:spacing w:after="0" w:line="255" w:lineRule="auto"/>
        <w:tabs>
          <w:tab w:leader="none" w:pos="3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Company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the Sales Agreement (A) to the extent such representations and warranties are subject to qualifications and exceptions contained therein relating to materiality or Material Adverse Change,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with all agreements and satisfied all conditions on its part to be performed or satisfied pursuant to the Sales Agreement at or prior to the date hereof;</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(A) the Registration Statement does not contain any untrue statement of a material fact or omit to state a material fact required to be stated therein or necessary in order to make the statements therein not misleading, (B) the Prospectus does not contain any untrue statement of a material fact or omit to state a material fact required to be stated therein or necessary in order to make the statements therein, in light of the circumstances under which they were made, not misleading and (C) no event has occurred as a result of which it is necessary to amend or supplement the Registration Statement or the Prospectus in order to make the statements therein not untrue or misleading for clauses (A) and (B) above, respectively, to be true and correct;</w:t>
      </w:r>
    </w:p>
    <w:p>
      <w:pPr>
        <w:spacing w:after="0" w:line="18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Material Adverse Change since the date as of which information is given in the Prospectus, as amended or supplemented;</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be in possession of any material non-public information at the time of delivery of any Placement Notice and/or as long as such Placement Notice is effective; and</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offering price of the Placement Shares that may be issued and sold pursuant to the Sales Agreement and the maximum number or amount of Placement Shares that may be sold pursuant to the Sales Agreement have been duly authorized by the Company’s board of directors or a duly authorized committee thereof.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color w:val="auto"/>
        </w:rPr>
        <w:t>Terms used herein and not defined herein have the meanings ascribed to them in the Sales Agreement.</w:t>
      </w:r>
    </w:p>
    <w:p>
      <w:pPr>
        <w:spacing w:after="0" w:line="23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3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1"/>
      <w:numFmt w:val="bullet"/>
      <w:start w:val="1"/>
    </w:lvl>
  </w:abstractNum>
  <w:abstractNum w:abstractNumId="1">
    <w:nsid w:val="4B588F54"/>
    <w:multiLevelType w:val="hybridMultilevel"/>
    <w:lvl w:ilvl="0">
      <w:lvlJc w:val="left"/>
      <w:lvlText w:val="2"/>
      <w:numFmt w:val="bullet"/>
      <w:start w:val="1"/>
    </w:lvl>
  </w:abstractNum>
  <w:abstractNum w:abstractNumId="2">
    <w:nsid w:val="542289EC"/>
    <w:multiLevelType w:val="hybridMultilevel"/>
    <w:lvl w:ilvl="0">
      <w:lvlJc w:val="left"/>
      <w:lvlText w:val="3"/>
      <w:numFmt w:val="bullet"/>
      <w:start w:val="1"/>
    </w:lvl>
    <w:lvl w:ilvl="1">
      <w:lvlJc w:val="left"/>
      <w:lvlText w:val="(%2)"/>
      <w:numFmt w:val="lowerLetter"/>
      <w:start w:val="1"/>
    </w:lvl>
  </w:abstractNum>
  <w:abstractNum w:abstractNumId="3">
    <w:nsid w:val="6DE91B18"/>
    <w:multiLevelType w:val="hybridMultilevel"/>
    <w:lvl w:ilvl="0">
      <w:lvlJc w:val="left"/>
      <w:lvlText w:val="(%1)"/>
      <w:numFmt w:val="lowerLetter"/>
      <w:start w:val="2"/>
    </w:lvl>
    <w:lvl w:ilvl="1">
      <w:lvlJc w:val="left"/>
      <w:lvlText w:val="(%2)"/>
      <w:numFmt w:val="lowerRoman"/>
      <w:start w:val="1"/>
    </w:lvl>
  </w:abstractNum>
  <w:abstractNum w:abstractNumId="4">
    <w:nsid w:val="38437FDB"/>
    <w:multiLevelType w:val="hybridMultilevel"/>
    <w:lvl w:ilvl="0">
      <w:lvlJc w:val="left"/>
      <w:lvlText w:val="4"/>
      <w:numFmt w:val="bullet"/>
      <w:start w:val="1"/>
    </w:lvl>
    <w:lvl w:ilvl="1">
      <w:lvlJc w:val="left"/>
      <w:lvlText w:val="(%2)"/>
      <w:numFmt w:val="lowerLetter"/>
      <w:start w:val="1"/>
    </w:lvl>
  </w:abstractNum>
  <w:abstractNum w:abstractNumId="5">
    <w:nsid w:val="7644A45C"/>
    <w:multiLevelType w:val="hybridMultilevel"/>
    <w:lvl w:ilvl="0">
      <w:lvlJc w:val="left"/>
      <w:lvlText w:val="(%1)"/>
      <w:numFmt w:val="lowerLetter"/>
      <w:start w:val="2"/>
    </w:lvl>
  </w:abstractNum>
  <w:abstractNum w:abstractNumId="6">
    <w:nsid w:val="32FFF902"/>
    <w:multiLevelType w:val="hybridMultilevel"/>
    <w:lvl w:ilvl="0">
      <w:lvlJc w:val="left"/>
      <w:lvlText w:val="5"/>
      <w:numFmt w:val="bullet"/>
      <w:start w:val="1"/>
    </w:lvl>
  </w:abstractNum>
  <w:abstractNum w:abstractNumId="7">
    <w:nsid w:val="684A481A"/>
    <w:multiLevelType w:val="hybridMultilevel"/>
    <w:lvl w:ilvl="0">
      <w:lvlJc w:val="left"/>
      <w:lvlText w:val="(%1)"/>
      <w:numFmt w:val="lowerLetter"/>
      <w:start w:val="1"/>
    </w:lvl>
  </w:abstractNum>
  <w:abstractNum w:abstractNumId="8">
    <w:nsid w:val="579478FE"/>
    <w:multiLevelType w:val="hybridMultilevel"/>
    <w:lvl w:ilvl="0">
      <w:lvlJc w:val="left"/>
      <w:lvlText w:val="6"/>
      <w:numFmt w:val="bullet"/>
      <w:start w:val="1"/>
    </w:lvl>
  </w:abstractNum>
  <w:abstractNum w:abstractNumId="9">
    <w:nsid w:val="749ABB43"/>
    <w:multiLevelType w:val="hybridMultilevel"/>
    <w:lvl w:ilvl="0">
      <w:lvlJc w:val="left"/>
      <w:lvlText w:val="1"/>
      <w:numFmt w:val="bullet"/>
      <w:start w:val="1"/>
    </w:lvl>
  </w:abstractNum>
  <w:abstractNum w:abstractNumId="10">
    <w:nsid w:val="3DC240FB"/>
    <w:multiLevelType w:val="hybridMultilevel"/>
    <w:lvl w:ilvl="0">
      <w:lvlJc w:val="left"/>
      <w:lvlText w:val="2"/>
      <w:numFmt w:val="bullet"/>
      <w:start w:val="1"/>
    </w:lvl>
  </w:abstractNum>
  <w:abstractNum w:abstractNumId="11">
    <w:nsid w:val="1BA026FA"/>
    <w:multiLevelType w:val="hybridMultilevel"/>
    <w:lvl w:ilvl="0">
      <w:lvlJc w:val="left"/>
      <w:lvlText w:val="3"/>
      <w:numFmt w:val="bullet"/>
      <w:start w:val="1"/>
    </w:lvl>
  </w:abstractNum>
  <w:abstractNum w:abstractNumId="12">
    <w:nsid w:val="79A1DEAA"/>
    <w:multiLevelType w:val="hybridMultilevel"/>
    <w:lvl w:ilvl="0">
      <w:lvlJc w:val="left"/>
      <w:lvlText w:val="4"/>
      <w:numFmt w:val="bullet"/>
      <w:start w:val="1"/>
    </w:lvl>
  </w:abstractNum>
  <w:abstractNum w:abstractNumId="13">
    <w:nsid w:val="75C6C33A"/>
    <w:multiLevelType w:val="hybridMultilevel"/>
    <w:lvl w:ilvl="0">
      <w:lvlJc w:val="left"/>
      <w:lvlText w:val="5"/>
      <w:numFmt w:val="bullet"/>
      <w:start w:val="1"/>
    </w:lvl>
  </w:abstractNum>
  <w:abstractNum w:abstractNumId="14">
    <w:nsid w:val="12E685FB"/>
    <w:multiLevelType w:val="hybridMultilevel"/>
    <w:lvl w:ilvl="0">
      <w:lvlJc w:val="left"/>
      <w:lvlText w:val="6"/>
      <w:numFmt w:val="bullet"/>
      <w:start w:val="1"/>
    </w:lvl>
  </w:abstractNum>
  <w:abstractNum w:abstractNumId="15">
    <w:nsid w:val="70C6A529"/>
    <w:multiLevelType w:val="hybridMultilevel"/>
    <w:lvl w:ilvl="0">
      <w:lvlJc w:val="left"/>
      <w:lvlText w:val="7"/>
      <w:numFmt w:val="bullet"/>
      <w:start w:val="1"/>
    </w:lvl>
  </w:abstractNum>
  <w:abstractNum w:abstractNumId="16">
    <w:nsid w:val="520EEDD1"/>
    <w:multiLevelType w:val="hybridMultilevel"/>
    <w:lvl w:ilvl="0">
      <w:lvlJc w:val="left"/>
      <w:lvlText w:val="8"/>
      <w:numFmt w:val="bullet"/>
      <w:start w:val="1"/>
    </w:lvl>
  </w:abstractNum>
  <w:abstractNum w:abstractNumId="17">
    <w:nsid w:val="374A3FE6"/>
    <w:multiLevelType w:val="hybridMultilevel"/>
    <w:lvl w:ilvl="0">
      <w:lvlJc w:val="left"/>
      <w:lvlText w:val="1"/>
      <w:numFmt w:val="bullet"/>
      <w:start w:val="1"/>
    </w:lvl>
  </w:abstractNum>
  <w:abstractNum w:abstractNumId="18">
    <w:nsid w:val="4F4EF005"/>
    <w:multiLevelType w:val="hybridMultilevel"/>
    <w:lvl w:ilvl="0">
      <w:lvlJc w:val="left"/>
      <w:lvlText w:val="2"/>
      <w:numFmt w:val="bullet"/>
      <w:start w:val="1"/>
    </w:lvl>
  </w:abstractNum>
  <w:abstractNum w:abstractNumId="19">
    <w:nsid w:val="23F9C13C"/>
    <w:multiLevelType w:val="hybridMultilevel"/>
    <w:lvl w:ilvl="0">
      <w:lvlJc w:val="left"/>
      <w:lvlText w:val="3"/>
      <w:numFmt w:val="bullet"/>
      <w:start w:val="1"/>
    </w:lvl>
  </w:abstractNum>
  <w:abstractNum w:abstractNumId="20">
    <w:nsid w:val="649BB77C"/>
    <w:multiLevelType w:val="hybridMultilevel"/>
    <w:lvl w:ilvl="0">
      <w:lvlJc w:val="left"/>
      <w:lvlText w:val="4"/>
      <w:numFmt w:val="bullet"/>
      <w:start w:val="1"/>
    </w:lvl>
  </w:abstractNum>
  <w:abstractNum w:abstractNumId="21">
    <w:nsid w:val="275AC794"/>
    <w:multiLevelType w:val="hybridMultilevel"/>
    <w:lvl w:ilvl="0">
      <w:lvlJc w:val="left"/>
      <w:lvlText w:val="5"/>
      <w:numFmt w:val="bullet"/>
      <w:start w:val="1"/>
    </w:lvl>
  </w:abstractNum>
  <w:abstractNum w:abstractNumId="22">
    <w:nsid w:val="39386575"/>
    <w:multiLevelType w:val="hybridMultilevel"/>
    <w:lvl w:ilvl="0">
      <w:lvlJc w:val="left"/>
      <w:lvlText w:val="6"/>
      <w:numFmt w:val="bullet"/>
      <w:start w:val="1"/>
    </w:lvl>
  </w:abstractNum>
  <w:abstractNum w:abstractNumId="23">
    <w:nsid w:val="1CF10FD8"/>
    <w:multiLevelType w:val="hybridMultilevel"/>
    <w:lvl w:ilvl="0">
      <w:lvlJc w:val="left"/>
      <w:lvlText w:val="8"/>
      <w:numFmt w:val="bullet"/>
      <w:start w:val="1"/>
    </w:lvl>
  </w:abstractNum>
  <w:abstractNum w:abstractNumId="24">
    <w:nsid w:val="180115BE"/>
    <w:multiLevelType w:val="hybridMultilevel"/>
    <w:lvl w:ilvl="0">
      <w:lvlJc w:val="left"/>
      <w:lvlText w:val="9"/>
      <w:numFmt w:val="bullet"/>
      <w:start w:val="1"/>
    </w:lvl>
  </w:abstractNum>
  <w:abstractNum w:abstractNumId="25">
    <w:nsid w:val="235BA861"/>
    <w:multiLevelType w:val="hybridMultilevel"/>
    <w:lvl w:ilvl="0">
      <w:lvlJc w:val="left"/>
      <w:lvlText w:val="%1"/>
      <w:numFmt w:val="decimal"/>
      <w:start w:val="10"/>
    </w:lvl>
  </w:abstractNum>
  <w:abstractNum w:abstractNumId="26">
    <w:nsid w:val="47398C89"/>
    <w:multiLevelType w:val="hybridMultilevel"/>
    <w:lvl w:ilvl="0">
      <w:lvlJc w:val="left"/>
      <w:lvlText w:val="%1"/>
      <w:numFmt w:val="decimal"/>
      <w:start w:val="11"/>
    </w:lvl>
    <w:lvl w:ilvl="1">
      <w:lvlJc w:val="left"/>
      <w:lvlText w:val="(%2)"/>
      <w:numFmt w:val="lowerLetter"/>
      <w:start w:val="1"/>
    </w:lvl>
  </w:abstractNum>
  <w:abstractNum w:abstractNumId="27">
    <w:nsid w:val="354FE9F9"/>
    <w:multiLevelType w:val="hybridMultilevel"/>
    <w:lvl w:ilvl="0">
      <w:lvlJc w:val="left"/>
      <w:lvlText w:val="%1"/>
      <w:numFmt w:val="decimal"/>
      <w:start w:val="13"/>
    </w:lvl>
  </w:abstractNum>
  <w:abstractNum w:abstractNumId="28">
    <w:nsid w:val="15B5AF5C"/>
    <w:multiLevelType w:val="hybridMultilevel"/>
    <w:lvl w:ilvl="0">
      <w:lvlJc w:val="left"/>
      <w:lvlText w:val="1"/>
      <w:numFmt w:val="bullet"/>
      <w:start w:val="1"/>
    </w:lvl>
  </w:abstractNum>
  <w:abstractNum w:abstractNumId="29">
    <w:nsid w:val="741226BB"/>
    <w:multiLevelType w:val="hybridMultilevel"/>
    <w:lvl w:ilvl="0">
      <w:lvlJc w:val="left"/>
      <w:lvlText w:val="2"/>
      <w:numFmt w:val="bullet"/>
      <w:start w:val="1"/>
    </w:lvl>
  </w:abstractNum>
  <w:abstractNum w:abstractNumId="30">
    <w:nsid w:val="D34B6A8"/>
    <w:multiLevelType w:val="hybridMultilevel"/>
    <w:lvl w:ilvl="0">
      <w:lvlJc w:val="left"/>
      <w:lvlText w:val="3"/>
      <w:numFmt w:val="bullet"/>
      <w:start w:val="1"/>
    </w:lvl>
  </w:abstractNum>
  <w:abstractNum w:abstractNumId="31">
    <w:nsid w:val="10233C99"/>
    <w:multiLevelType w:val="hybridMultilevel"/>
    <w:lvl w:ilvl="0">
      <w:lvlJc w:val="left"/>
      <w:lvlText w:val="4"/>
      <w:numFmt w:val="bullet"/>
      <w:start w:val="1"/>
    </w:lvl>
  </w:abstractNum>
  <w:abstractNum w:abstractNumId="32">
    <w:nsid w:val="3F6AB60F"/>
    <w:multiLevelType w:val="hybridMultilevel"/>
    <w:lvl w:ilvl="0">
      <w:lvlJc w:val="left"/>
      <w:lvlText w:val="5"/>
      <w:numFmt w:val="bullet"/>
      <w:start w:val="1"/>
    </w:lvl>
    <w:lvl w:ilvl="1">
      <w:lvlJc w:val="left"/>
      <w:lvlText w:val="(%2)"/>
      <w:numFmt w:val="lowerLetter"/>
      <w:start w:val="1"/>
    </w:lvl>
  </w:abstractNum>
  <w:abstractNum w:abstractNumId="33">
    <w:nsid w:val="61574095"/>
    <w:multiLevelType w:val="hybridMultilevel"/>
    <w:lvl w:ilvl="0">
      <w:lvlJc w:val="left"/>
      <w:lvlText w:val="%1."/>
      <w:numFmt w:val="decimal"/>
      <w:start w:val="1"/>
    </w:lvl>
  </w:abstractNum>
  <w:abstractNum w:abstractNumId="34">
    <w:nsid w:val="7E0C57B1"/>
    <w:multiLevelType w:val="hybridMultilevel"/>
    <w:lvl w:ilvl="0">
      <w:lvlJc w:val="left"/>
      <w:lvlText w:val="%1."/>
      <w:numFmt w:val="decimal"/>
      <w:start w:val="2"/>
    </w:lvl>
  </w:abstractNum>
  <w:abstractNum w:abstractNumId="35">
    <w:nsid w:val="77AE35EB"/>
    <w:multiLevelType w:val="hybridMultilevel"/>
    <w:lvl w:ilvl="0">
      <w:lvlJc w:val="left"/>
      <w:lvlText w:val="%1."/>
      <w:numFmt w:val="decimal"/>
      <w:start w:val="3"/>
    </w:lvl>
  </w:abstractNum>
  <w:abstractNum w:abstractNumId="36">
    <w:nsid w:val="579BE4F1"/>
    <w:multiLevelType w:val="hybridMultilevel"/>
    <w:lvl w:ilvl="0">
      <w:lvlJc w:val="left"/>
      <w:lvlText w:val="(%1)"/>
      <w:numFmt w:val="lowerLetter"/>
      <w:start w:val="1"/>
    </w:lvl>
  </w:abstractNum>
  <w:abstractNum w:abstractNumId="37">
    <w:nsid w:val="310C50B3"/>
    <w:multiLevelType w:val="hybridMultilevel"/>
    <w:lvl w:ilvl="0">
      <w:lvlJc w:val="left"/>
      <w:lvlText w:val="%1."/>
      <w:numFmt w:val="decimal"/>
      <w:start w:val="4"/>
    </w:lvl>
  </w:abstractNum>
  <w:abstractNum w:abstractNumId="38">
    <w:nsid w:val="5FF87E05"/>
    <w:multiLevelType w:val="hybridMultilevel"/>
    <w:lvl w:ilvl="0">
      <w:lvlJc w:val="left"/>
      <w:lvlText w:val="(%1)"/>
      <w:numFmt w:val="lowerLetter"/>
      <w:start w:val="1"/>
    </w:lvl>
  </w:abstractNum>
  <w:abstractNum w:abstractNumId="39">
    <w:nsid w:val="2F305DEF"/>
    <w:multiLevelType w:val="hybridMultilevel"/>
    <w:lvl w:ilvl="0">
      <w:lvlJc w:val="left"/>
      <w:lvlText w:val="%1."/>
      <w:numFmt w:val="decimal"/>
      <w:start w:val="5"/>
    </w:lvl>
  </w:abstractNum>
  <w:abstractNum w:abstractNumId="40">
    <w:nsid w:val="25A70BF7"/>
    <w:multiLevelType w:val="hybridMultilevel"/>
    <w:lvl w:ilvl="0">
      <w:lvlJc w:val="left"/>
      <w:lvlText w:val="(%1)"/>
      <w:numFmt w:val="lowerLetter"/>
      <w:start w:val="1"/>
    </w:lvl>
  </w:abstractNum>
  <w:abstractNum w:abstractNumId="41">
    <w:nsid w:val="1DBABF00"/>
    <w:multiLevelType w:val="hybridMultilevel"/>
    <w:lvl w:ilvl="0">
      <w:lvlJc w:val="left"/>
      <w:lvlText w:val="%1."/>
      <w:numFmt w:val="decimal"/>
      <w:start w:val="6"/>
    </w:lvl>
  </w:abstractNum>
  <w:abstractNum w:abstractNumId="42">
    <w:nsid w:val="4AD084E9"/>
    <w:multiLevelType w:val="hybridMultilevel"/>
    <w:lvl w:ilvl="0">
      <w:lvlJc w:val="left"/>
      <w:lvlText w:val="(%1)"/>
      <w:numFmt w:val="lowerLetter"/>
      <w:start w:val="1"/>
    </w:lvl>
  </w:abstractNum>
  <w:abstractNum w:abstractNumId="43">
    <w:nsid w:val="1F48EAA1"/>
    <w:multiLevelType w:val="hybridMultilevel"/>
    <w:lvl w:ilvl="0">
      <w:lvlJc w:val="left"/>
      <w:lvlText w:val="(%1)"/>
      <w:numFmt w:val="lowerLetter"/>
      <w:start w:val="5"/>
    </w:lvl>
  </w:abstractNum>
  <w:abstractNum w:abstractNumId="44">
    <w:nsid w:val="1381823A"/>
    <w:multiLevelType w:val="hybridMultilevel"/>
    <w:lvl w:ilvl="0">
      <w:lvlJc w:val="left"/>
      <w:lvlText w:val="(%1)"/>
      <w:numFmt w:val="lowerLetter"/>
      <w:start w:val="9"/>
    </w:lvl>
  </w:abstractNum>
  <w:abstractNum w:abstractNumId="45">
    <w:nsid w:val="5DB70AE5"/>
    <w:multiLevelType w:val="hybridMultilevel"/>
    <w:lvl w:ilvl="0">
      <w:lvlJc w:val="left"/>
      <w:lvlText w:val="(%1)"/>
      <w:numFmt w:val="lowerLetter"/>
      <w:start w:val="14"/>
    </w:lvl>
  </w:abstractNum>
  <w:abstractNum w:abstractNumId="46">
    <w:nsid w:val="100F8FCA"/>
    <w:multiLevelType w:val="hybridMultilevel"/>
    <w:lvl w:ilvl="0">
      <w:lvlJc w:val="left"/>
      <w:lvlText w:val="(%1)"/>
      <w:numFmt w:val="lowerLetter"/>
      <w:start w:val="19"/>
    </w:lvl>
  </w:abstractNum>
  <w:abstractNum w:abstractNumId="47">
    <w:nsid w:val="6590700B"/>
    <w:multiLevelType w:val="hybridMultilevel"/>
    <w:lvl w:ilvl="0">
      <w:lvlJc w:val="left"/>
      <w:lvlText w:val="(%1)"/>
      <w:numFmt w:val="lowerLetter"/>
      <w:start w:val="26"/>
    </w:lvl>
  </w:abstractNum>
  <w:abstractNum w:abstractNumId="48">
    <w:nsid w:val="15014ACB"/>
    <w:multiLevelType w:val="hybridMultilevel"/>
    <w:lvl w:ilvl="0">
      <w:lvlJc w:val="left"/>
      <w:lvlText w:val="%1"/>
      <w:numFmt w:val="lowerLetter"/>
      <w:start w:val="1"/>
    </w:lvl>
    <w:lvl w:ilvl="1">
      <w:lvlJc w:val="left"/>
      <w:lvlText w:val="(%2)"/>
      <w:numFmt w:val="lowerLetter"/>
      <w:start w:val="27"/>
    </w:lvl>
  </w:abstractNum>
  <w:abstractNum w:abstractNumId="49">
    <w:nsid w:val="5F5E7FD0"/>
    <w:multiLevelType w:val="hybridMultilevel"/>
    <w:lvl w:ilvl="0">
      <w:lvlJc w:val="left"/>
      <w:lvlText w:val="(%1)"/>
      <w:numFmt w:val="lowerLetter"/>
      <w:start w:val="24"/>
    </w:lvl>
    <w:lvl w:ilvl="1">
      <w:lvlJc w:val="left"/>
      <w:lvlText w:val="%2"/>
      <w:numFmt w:val="lowerLetter"/>
      <w:start w:val="1"/>
    </w:lvl>
  </w:abstractNum>
  <w:abstractNum w:abstractNumId="50">
    <w:nsid w:val="98A3148"/>
    <w:multiLevelType w:val="hybridMultilevel"/>
    <w:lvl w:ilvl="0">
      <w:lvlJc w:val="left"/>
      <w:lvlText w:val="(%1)"/>
      <w:numFmt w:val="lowerLetter"/>
      <w:start w:val="30"/>
    </w:lvl>
  </w:abstractNum>
  <w:abstractNum w:abstractNumId="51">
    <w:nsid w:val="799D0247"/>
    <w:multiLevelType w:val="hybridMultilevel"/>
    <w:lvl w:ilvl="0">
      <w:lvlJc w:val="left"/>
      <w:lvlText w:val="(%1)"/>
      <w:numFmt w:val="lowerLetter"/>
      <w:start w:val="32"/>
    </w:lvl>
  </w:abstractNum>
  <w:abstractNum w:abstractNumId="52">
    <w:nsid w:val="6B94764"/>
    <w:multiLevelType w:val="hybridMultilevel"/>
    <w:lvl w:ilvl="0">
      <w:lvlJc w:val="left"/>
      <w:lvlText w:val="%1"/>
      <w:numFmt w:val="lowerLetter"/>
      <w:start w:val="1"/>
    </w:lvl>
    <w:lvl w:ilvl="1">
      <w:lvlJc w:val="left"/>
      <w:lvlText w:val="(%2)"/>
      <w:numFmt w:val="lowerLetter"/>
      <w:start w:val="36"/>
    </w:lvl>
  </w:abstractNum>
  <w:abstractNum w:abstractNumId="53">
    <w:nsid w:val="42C296BD"/>
    <w:multiLevelType w:val="hybridMultilevel"/>
    <w:lvl w:ilvl="0">
      <w:lvlJc w:val="left"/>
      <w:lvlText w:val="(%1)"/>
      <w:numFmt w:val="lowerLetter"/>
      <w:start w:val="9"/>
    </w:lvl>
    <w:lvl w:ilvl="1">
      <w:lvlJc w:val="left"/>
      <w:lvlText w:val="(%2)"/>
      <w:numFmt w:val="lowerLetter"/>
      <w:start w:val="37"/>
    </w:lvl>
  </w:abstractNum>
  <w:abstractNum w:abstractNumId="54">
    <w:nsid w:val="168E121F"/>
    <w:multiLevelType w:val="hybridMultilevel"/>
    <w:lvl w:ilvl="0">
      <w:lvlJc w:val="left"/>
      <w:lvlText w:val="(%1)"/>
      <w:numFmt w:val="lowerLetter"/>
      <w:start w:val="40"/>
    </w:lvl>
  </w:abstractNum>
  <w:abstractNum w:abstractNumId="55">
    <w:nsid w:val="1EBA5D23"/>
    <w:multiLevelType w:val="hybridMultilevel"/>
    <w:lvl w:ilvl="0">
      <w:lvlJc w:val="left"/>
      <w:lvlText w:val="(%1)"/>
      <w:numFmt w:val="lowerLetter"/>
      <w:start w:val="49"/>
    </w:lvl>
  </w:abstractNum>
  <w:abstractNum w:abstractNumId="56">
    <w:nsid w:val="661E3F1E"/>
    <w:multiLevelType w:val="hybridMultilevel"/>
    <w:lvl w:ilvl="0">
      <w:lvlJc w:val="left"/>
      <w:lvlText w:val="(%1)"/>
      <w:numFmt w:val="lowerLetter"/>
      <w:start w:val="53"/>
    </w:lvl>
  </w:abstractNum>
  <w:abstractNum w:abstractNumId="57">
    <w:nsid w:val="5DC79EA8"/>
    <w:multiLevelType w:val="hybridMultilevel"/>
    <w:lvl w:ilvl="0">
      <w:lvlJc w:val="left"/>
      <w:lvlText w:val="(%1)"/>
      <w:numFmt w:val="lowerLetter"/>
      <w:start w:val="54"/>
    </w:lvl>
  </w:abstractNum>
  <w:abstractNum w:abstractNumId="58">
    <w:nsid w:val="540A471C"/>
    <w:multiLevelType w:val="hybridMultilevel"/>
    <w:lvl w:ilvl="0">
      <w:lvlJc w:val="left"/>
      <w:lvlText w:val="(%1)"/>
      <w:numFmt w:val="lowerLetter"/>
      <w:start w:val="55"/>
    </w:lvl>
  </w:abstractNum>
  <w:abstractNum w:abstractNumId="59">
    <w:nsid w:val="7BD3EE7B"/>
    <w:multiLevelType w:val="hybridMultilevel"/>
    <w:lvl w:ilvl="0">
      <w:lvlJc w:val="left"/>
      <w:lvlText w:val="(%1)"/>
      <w:numFmt w:val="lowerLetter"/>
      <w:start w:val="60"/>
    </w:lvl>
  </w:abstractNum>
  <w:abstractNum w:abstractNumId="60">
    <w:nsid w:val="51D9C564"/>
    <w:multiLevelType w:val="hybridMultilevel"/>
    <w:lvl w:ilvl="0">
      <w:lvlJc w:val="left"/>
      <w:lvlText w:val="(%1)"/>
      <w:numFmt w:val="lowerLetter"/>
      <w:start w:val="1"/>
    </w:lvl>
  </w:abstractNum>
  <w:abstractNum w:abstractNumId="61">
    <w:nsid w:val="613EFDC5"/>
    <w:multiLevelType w:val="hybridMultilevel"/>
    <w:lvl w:ilvl="0">
      <w:lvlJc w:val="left"/>
      <w:lvlText w:val="%1"/>
      <w:numFmt w:val="lowerLetter"/>
      <w:start w:val="1"/>
    </w:lvl>
    <w:lvl w:ilvl="1">
      <w:lvlJc w:val="left"/>
      <w:lvlText w:val="(%2)"/>
      <w:numFmt w:val="lowerLetter"/>
      <w:start w:val="2"/>
    </w:lvl>
  </w:abstractNum>
  <w:abstractNum w:abstractNumId="62">
    <w:nsid w:val="BF72B14"/>
    <w:multiLevelType w:val="hybridMultilevel"/>
    <w:lvl w:ilvl="0">
      <w:lvlJc w:val="left"/>
      <w:lvlText w:val="(%1)"/>
      <w:numFmt w:val="lowerLetter"/>
      <w:start w:val="9"/>
    </w:lvl>
    <w:lvl w:ilvl="1">
      <w:lvlJc w:val="left"/>
      <w:lvlText w:val="(%2)"/>
      <w:numFmt w:val="lowerLetter"/>
      <w:start w:val="3"/>
    </w:lvl>
  </w:abstractNum>
  <w:abstractNum w:abstractNumId="63">
    <w:nsid w:val="11447B73"/>
    <w:multiLevelType w:val="hybridMultilevel"/>
    <w:lvl w:ilvl="0">
      <w:lvlJc w:val="left"/>
      <w:lvlText w:val="(%1)"/>
      <w:numFmt w:val="lowerLetter"/>
      <w:start w:val="6"/>
    </w:lvl>
  </w:abstractNum>
  <w:abstractNum w:abstractNumId="64">
    <w:nsid w:val="42963E5A"/>
    <w:multiLevelType w:val="hybridMultilevel"/>
    <w:lvl w:ilvl="0">
      <w:lvlJc w:val="left"/>
      <w:lvlText w:val="(%1)"/>
      <w:numFmt w:val="lowerLetter"/>
      <w:start w:val="9"/>
    </w:lvl>
  </w:abstractNum>
  <w:abstractNum w:abstractNumId="65">
    <w:nsid w:val="A0382C5"/>
    <w:multiLevelType w:val="hybridMultilevel"/>
    <w:lvl w:ilvl="0">
      <w:lvlJc w:val="left"/>
      <w:lvlText w:val="%1"/>
      <w:numFmt w:val="lowerLetter"/>
      <w:start w:val="1"/>
    </w:lvl>
    <w:lvl w:ilvl="1">
      <w:lvlJc w:val="left"/>
      <w:lvlText w:val="(%2)"/>
      <w:numFmt w:val="lowerLetter"/>
      <w:start w:val="12"/>
    </w:lvl>
  </w:abstractNum>
  <w:abstractNum w:abstractNumId="66">
    <w:nsid w:val="8F2B15E"/>
    <w:multiLevelType w:val="hybridMultilevel"/>
    <w:lvl w:ilvl="0">
      <w:lvlJc w:val="left"/>
      <w:lvlText w:val="(%1)"/>
      <w:numFmt w:val="lowerLetter"/>
      <w:start w:val="9"/>
    </w:lvl>
    <w:lvl w:ilvl="1">
      <w:lvlJc w:val="left"/>
      <w:lvlText w:val="%2"/>
      <w:numFmt w:val="lowerLetter"/>
      <w:start w:val="1"/>
    </w:lvl>
  </w:abstractNum>
  <w:abstractNum w:abstractNumId="67">
    <w:nsid w:val="1A32234B"/>
    <w:multiLevelType w:val="hybridMultilevel"/>
    <w:lvl w:ilvl="0">
      <w:lvlJc w:val="left"/>
      <w:lvlText w:val="(%1)"/>
      <w:numFmt w:val="lowerLetter"/>
      <w:start w:val="14"/>
    </w:lvl>
  </w:abstractNum>
  <w:abstractNum w:abstractNumId="68">
    <w:nsid w:val="3B0FD379"/>
    <w:multiLevelType w:val="hybridMultilevel"/>
    <w:lvl w:ilvl="0">
      <w:lvlJc w:val="left"/>
      <w:lvlText w:val="(%1)"/>
      <w:numFmt w:val="lowerLetter"/>
      <w:start w:val="17"/>
    </w:lvl>
  </w:abstractNum>
  <w:abstractNum w:abstractNumId="69">
    <w:nsid w:val="68EB2F63"/>
    <w:multiLevelType w:val="hybridMultilevel"/>
    <w:lvl w:ilvl="0">
      <w:lvlJc w:val="left"/>
      <w:lvlText w:val="%1."/>
      <w:numFmt w:val="decimal"/>
      <w:start w:val="8"/>
    </w:lvl>
  </w:abstractNum>
  <w:abstractNum w:abstractNumId="70">
    <w:nsid w:val="4962813B"/>
    <w:multiLevelType w:val="hybridMultilevel"/>
    <w:lvl w:ilvl="0">
      <w:lvlJc w:val="left"/>
      <w:lvlText w:val="(%1)"/>
      <w:numFmt w:val="lowerLetter"/>
      <w:start w:val="1"/>
    </w:lvl>
  </w:abstractNum>
  <w:abstractNum w:abstractNumId="71">
    <w:nsid w:val="60B6DF70"/>
    <w:multiLevelType w:val="hybridMultilevel"/>
    <w:lvl w:ilvl="0">
      <w:lvlJc w:val="left"/>
      <w:lvlText w:val="(%1)"/>
      <w:numFmt w:val="lowerLetter"/>
      <w:start w:val="3"/>
    </w:lvl>
  </w:abstractNum>
  <w:abstractNum w:abstractNumId="72">
    <w:nsid w:val="6A5EE64"/>
    <w:multiLevelType w:val="hybridMultilevel"/>
    <w:lvl w:ilvl="0">
      <w:lvlJc w:val="left"/>
      <w:lvlText w:val="(%1)"/>
      <w:numFmt w:val="lowerLetter"/>
      <w:start w:val="4"/>
    </w:lvl>
  </w:abstractNum>
  <w:abstractNum w:abstractNumId="73">
    <w:nsid w:val="14330624"/>
    <w:multiLevelType w:val="hybridMultilevel"/>
    <w:lvl w:ilvl="0">
      <w:lvlJc w:val="left"/>
      <w:lvlText w:val="(%1)"/>
      <w:numFmt w:val="lowerLetter"/>
      <w:start w:val="7"/>
    </w:lvl>
  </w:abstractNum>
  <w:abstractNum w:abstractNumId="74">
    <w:nsid w:val="7FFFCA11"/>
    <w:multiLevelType w:val="hybridMultilevel"/>
    <w:lvl w:ilvl="0">
      <w:lvlJc w:val="left"/>
      <w:lvlText w:val="(%1)"/>
      <w:numFmt w:val="lowerLetter"/>
      <w:start w:val="15"/>
    </w:lvl>
  </w:abstractNum>
  <w:abstractNum w:abstractNumId="75">
    <w:nsid w:val="1A27709E"/>
    <w:multiLevelType w:val="hybridMultilevel"/>
    <w:lvl w:ilvl="0">
      <w:lvlJc w:val="left"/>
      <w:lvlText w:val="%1."/>
      <w:numFmt w:val="decimal"/>
      <w:start w:val="9"/>
    </w:lvl>
  </w:abstractNum>
  <w:abstractNum w:abstractNumId="76">
    <w:nsid w:val="71EA1109"/>
    <w:multiLevelType w:val="hybridMultilevel"/>
    <w:lvl w:ilvl="0">
      <w:lvlJc w:val="left"/>
      <w:lvlText w:val="(%1)"/>
      <w:numFmt w:val="lowerLetter"/>
      <w:start w:val="1"/>
    </w:lvl>
  </w:abstractNum>
  <w:abstractNum w:abstractNumId="77">
    <w:nsid w:val="100F59DC"/>
    <w:multiLevelType w:val="hybridMultilevel"/>
    <w:lvl w:ilvl="0">
      <w:lvlJc w:val="left"/>
      <w:lvlText w:val="(%1)"/>
      <w:numFmt w:val="lowerLetter"/>
      <w:start w:val="2"/>
    </w:lvl>
  </w:abstractNum>
  <w:abstractNum w:abstractNumId="78">
    <w:nsid w:val="7FB7E0AA"/>
    <w:multiLevelType w:val="hybridMultilevel"/>
    <w:lvl w:ilvl="0">
      <w:lvlJc w:val="left"/>
      <w:lvlText w:val="(%1)"/>
      <w:numFmt w:val="lowerLetter"/>
      <w:start w:val="4"/>
    </w:lvl>
  </w:abstractNum>
  <w:abstractNum w:abstractNumId="79">
    <w:nsid w:val="6EB5BD4"/>
    <w:multiLevelType w:val="hybridMultilevel"/>
    <w:lvl w:ilvl="0">
      <w:lvlJc w:val="left"/>
      <w:lvlText w:val="%1."/>
      <w:numFmt w:val="decimal"/>
      <w:start w:val="10"/>
    </w:lvl>
  </w:abstractNum>
  <w:abstractNum w:abstractNumId="80">
    <w:nsid w:val="6F6DD9AC"/>
    <w:multiLevelType w:val="hybridMultilevel"/>
    <w:lvl w:ilvl="0">
      <w:lvlJc w:val="left"/>
      <w:lvlText w:val="(%1)"/>
      <w:numFmt w:val="lowerLetter"/>
      <w:start w:val="1"/>
    </w:lvl>
  </w:abstractNum>
  <w:abstractNum w:abstractNumId="81">
    <w:nsid w:val="94211F2"/>
    <w:multiLevelType w:val="hybridMultilevel"/>
    <w:lvl w:ilvl="0">
      <w:lvlJc w:val="left"/>
      <w:lvlText w:val="(%1)"/>
      <w:numFmt w:val="lowerLetter"/>
      <w:start w:val="5"/>
    </w:lvl>
  </w:abstractNum>
  <w:abstractNum w:abstractNumId="82">
    <w:nsid w:val="885E1B"/>
    <w:multiLevelType w:val="hybridMultilevel"/>
    <w:lvl w:ilvl="0">
      <w:lvlJc w:val="left"/>
      <w:lvlText w:val="%1."/>
      <w:numFmt w:val="decimal"/>
      <w:start w:val="12"/>
    </w:lvl>
  </w:abstractNum>
  <w:abstractNum w:abstractNumId="83">
    <w:nsid w:val="76272110"/>
    <w:multiLevelType w:val="hybridMultilevel"/>
    <w:lvl w:ilvl="0">
      <w:lvlJc w:val="left"/>
      <w:lvlText w:val="%1."/>
      <w:numFmt w:val="decimal"/>
      <w:start w:val="13"/>
    </w:lvl>
  </w:abstractNum>
  <w:abstractNum w:abstractNumId="84">
    <w:nsid w:val="4C04A8AF"/>
    <w:multiLevelType w:val="hybridMultilevel"/>
    <w:lvl w:ilvl="0">
      <w:lvlJc w:val="left"/>
      <w:lvlText w:val="%1."/>
      <w:numFmt w:val="decimal"/>
      <w:start w:val="16"/>
    </w:lvl>
  </w:abstractNum>
  <w:abstractNum w:abstractNumId="85">
    <w:nsid w:val="1716703B"/>
    <w:multiLevelType w:val="hybridMultilevel"/>
    <w:lvl w:ilvl="0">
      <w:lvlJc w:val="left"/>
      <w:lvlText w:val="(%1)"/>
      <w:numFmt w:val="lowerLetter"/>
      <w:start w:val="1"/>
    </w:lvl>
  </w:abstractNum>
  <w:abstractNum w:abstractNumId="86">
    <w:nsid w:val="14E17E33"/>
    <w:multiLevelType w:val="hybridMultilevel"/>
    <w:lvl w:ilvl="0">
      <w:lvlJc w:val="left"/>
      <w:lvlText w:val="%1."/>
      <w:numFmt w:val="decimal"/>
      <w:start w:val="19"/>
    </w:lvl>
  </w:abstractNum>
  <w:abstractNum w:abstractNumId="87">
    <w:nsid w:val="3222E7CD"/>
    <w:multiLevelType w:val="hybridMultilevel"/>
    <w:lvl w:ilvl="0">
      <w:lvlJc w:val="left"/>
      <w:lvlText w:val="%1."/>
      <w:numFmt w:val="decimal"/>
      <w:start w:val="20"/>
    </w:lvl>
  </w:abstractNum>
  <w:abstractNum w:abstractNumId="88">
    <w:nsid w:val="74DE0EE3"/>
    <w:multiLevelType w:val="hybridMultilevel"/>
    <w:lvl w:ilvl="0">
      <w:lvlJc w:val="left"/>
      <w:lvlText w:val="(%1)"/>
      <w:numFmt w:val="lowerLetter"/>
      <w:start w:val="1"/>
    </w:lvl>
  </w:abstractNum>
  <w:abstractNum w:abstractNumId="89">
    <w:nsid w:val="68EBC55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jpe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13" Type="http://schemas.openxmlformats.org/officeDocument/2006/relationships/hyperlink" Target="https://www.sec.gov/Archives/edgar/data/1825349/000121390025065280/ea0249173-s8_chanson.htm" TargetMode="External"/><Relationship Id="rId14" Type="http://schemas.openxmlformats.org/officeDocument/2006/relationships/hyperlink" Target="https://www.sec.gov/Archives/edgar/data/1825349/000121390025076637/ea0253250-f3_chans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2026-01-07T09:04:14Z</dcterms:created>
  <dcterms:modified xsi:type="dcterms:W3CDTF">2026-01-07T09:04:14Z</dcterms:modified>
</cp:coreProperties>
</file>