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6457-6k_chanson.htm"/>
      <w:bookmarkStart w:id="1" w:name="ksea02964576k_chanso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B9 Xinjiang Chuangbo Zhigu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100 Guangyuan Road, Shuimogou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Urumqi, Xinjiang,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Ms. Jihong Cai resigned as the chief financial officer of Chanson International Holding (the “Company”), effective immediately. Her resignation was due to other commitments. There were no disagreements between Ms. Cai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board of directors of the Company (the “Board”) appointed Mr. Gang Liu as the chief financial officer of the Company,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Gang Liu has over 30 years of experience in accounting and financial management. Prior to joining the Company, Mr. Liu served as Finance Department Director at Kashgar Urban Construction Investment Company since September 2024. He previously held senior finance leadership positions as Finance Director at Karamay Longda Urban Construction Development Co., Ltd. from 2020 to 2024, Finance Director at Xinjiang Guojing Agricultural Development Co., Ltd. from 2017 to 2020, Seconded Finance Manager at Xinjiang Chengxinda Real Estate Co., Ltd. from 2015 to 2017, Finance Supervisor at Xinjiang Tianhengji Urban Development Co., Ltd. from 2011 to 2015, Finance Manager at Xinjiang Dehao International Co., Ltd. from 2006 to 2011, Finance Manager at Xinjiang Xinyinyu Investment Group from 2003 to 2006, and held various finance positions at Xinjiang Construction Engineering Group from 1993 to 2003. Mr. Liu holds a Bachelor’s degree in Accounting from Xinjiang University of Finance and Economics and an Associate degree in Accounting from Urumqi Vocational University. He is a Senior Accountant, Certified Tax Agent, and Intermediate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the Company entered into (i) an employment agreement, and (ii) an indemnification agreement with Mr. Liu. The forms of employment agreement and indemnification agreement are attached as Exhibits 4.1 and 4.2 to this Current Report on Form 6-K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would like to thank Ms. Cai for her service and contributions to the Company and welcomes Mr. Liu to his new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The contents of this Current Report on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333-288739) filed with the SEC on July 18, 2025 and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333-289600) that was initially filed with the SEC on August 14, 2025 and declared effective by the SEC on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20"/>
        <w:gridCol w:w="60"/>
        <w:gridCol w:w="9325"/>
      </w:tblGrid>
      <w:tr>
        <w:trPr/>
        <w:tc>
          <w:tcPr>
            <w:tcW w:w="8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25" w:type="dxa"/>
            <w:tcBorders/>
            <w:shd w:fill="CCEEFF" w:val="clear"/>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Form of Employment Agreement (incorporated by reference to Exhibit 10.1 of our Registration Statement on Form F-1 (File No. 333-254909) initially filed with the Securities and Exchange Commission on March 31, 2021)</w:t>
              </w:r>
            </w:hyperlink>
          </w:p>
        </w:tc>
      </w:tr>
      <w:tr>
        <w:trPr/>
        <w:tc>
          <w:tcPr>
            <w:tcW w:w="8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25" w:type="dxa"/>
            <w:tcBorders/>
            <w:shd w:fill="FFFFFF" w:val="clear"/>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Form of Indemnification Agreement (incorporated by reference to Exhibit 10.2 of our Registration Statement on Form F-1 (File No. 333-254909) initially filed with the Securities and Exchange Commission on March 31, 2021)</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9615" w:type="dxa"/>
        <w:jc w:val="left"/>
        <w:tblInd w:w="0" w:type="dxa"/>
        <w:tblLayout w:type="fixed"/>
        <w:tblCellMar>
          <w:top w:w="0" w:type="dxa"/>
          <w:left w:w="0" w:type="dxa"/>
          <w:bottom w:w="0" w:type="dxa"/>
          <w:right w:w="0" w:type="dxa"/>
        </w:tblCellMar>
      </w:tblPr>
      <w:tblGrid>
        <w:gridCol w:w="1520"/>
        <w:gridCol w:w="545"/>
        <w:gridCol w:w="7550"/>
      </w:tblGrid>
      <w:tr>
        <w:trPr/>
        <w:tc>
          <w:tcPr>
            <w:tcW w:w="1520" w:type="dxa"/>
            <w:tcBorders/>
            <w:vAlign w:val="center"/>
          </w:tcPr>
          <w:p>
            <w:pPr>
              <w:pStyle w:val="TableContents"/>
              <w:bidi w:val="0"/>
              <w:spacing w:before="0" w:after="283"/>
              <w:jc w:val="left"/>
              <w:rPr/>
            </w:pPr>
            <w:r>
              <w:rPr/>
              <w:t> </w:t>
            </w:r>
          </w:p>
        </w:tc>
        <w:tc>
          <w:tcPr>
            <w:tcW w:w="80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Chanson International Holding</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5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Gang Li</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Gang Li</w:t>
            </w:r>
          </w:p>
        </w:tc>
      </w:tr>
      <w:tr>
        <w:trPr/>
        <w:tc>
          <w:tcPr>
            <w:tcW w:w="15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Chairman of the Board of Directors (Principal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5349/000121390025065280/ea0249173-s8_chanson.htm" TargetMode="External"/><Relationship Id="rId3" Type="http://schemas.openxmlformats.org/officeDocument/2006/relationships/hyperlink" Target="http://www.sec.gov/Archives/edgar/data/1825349/000121390025076637/ea0253250-f3_chanson.htm" TargetMode="External"/><Relationship Id="rId4" Type="http://schemas.openxmlformats.org/officeDocument/2006/relationships/hyperlink" Target="http://www.sec.gov/Archives/edgar/data/1825349/000121390021019164/ea138629ex10-1_chansoninter.htm" TargetMode="External"/><Relationship Id="rId5" Type="http://schemas.openxmlformats.org/officeDocument/2006/relationships/hyperlink" Target="http://www.sec.gov/Archives/edgar/data/1825349/000121390021019164/ea138629ex10-2_chansoninter.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599</Words>
  <Characters>3266</Characters>
  <CharactersWithSpaces>3875</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