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81805-6k_chanson.htm"/>
      <w:bookmarkStart w:id="1" w:name="ksea02818056k_chanson"/>
      <w:bookmarkEnd w:id="0"/>
      <w:bookmarkEnd w:id="1"/>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w:t>
        <w:b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March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001-41663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Chanson International Holding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B9 Xinjiang Chuangbo Zhigu Industrial Park</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100 Guangyuan Road, Shuimogou District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Urumqi, Xinjiang, China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Form 6-K filed on February 25, 2026, the shareholders of Chanson International Holding (the “Company”) approved, at the extraordinary general meeting held on February 23, 2026, a special resolution relating to the reduction and reorganization of the Company’s share capital (the “Share Capital Reduction and Reorganisation”), subject to the conditions set forth therein. The principal components of the Share Capital Reduction and Reorganisation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Capital Reduction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par value of each issued and outstanding Class A ordinary share of US$0.08 par value each and Class B ordinary share of US$0.08 par value each in the share capital of the Company be reduced to US$0.0001 by cancelling US$0.0799 of the paid-up capital on each of the issued and outstanding Class A ordinary shares of US$0.08 par value each and Class B ordinary shares of US$0.08 par value each (the “Share Capital Reduction”);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following the Share Capital Reduction, the amount deemed to be paid up on each issued and outstanding share of the Company shall be US$0.0001;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credit arising from the Share Capital Reduction be transferred to a distributable reserve account of the Company which may be utilised by the Company as the board of directors of the Company may deem fit and as permitted under the Companies Act, the Company’s memorandum and articles of association, and all relevant applicable laws, including, without limitation, eliminating or setting off any accumulated losses of the Company (if any) from time to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Capital Subdivision</w:t>
      </w:r>
    </w:p>
    <w:p>
      <w:pPr>
        <w:pStyle w:val="TextBody"/>
        <w:bidi w:val="0"/>
        <w:spacing w:before="0" w:after="0"/>
        <w:ind w:left="0" w:right="0" w:hanging="0"/>
        <w:jc w:val="left"/>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185"/>
        <w:gridCol w:w="429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4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immediately following the Share Capital Reduction: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each authorised but unissued Class A ordinary share of US$0.08 par value each be subdivided into 800 Class A ordinary shares of US$0.0001 par value each; and</w:t>
            </w:r>
          </w:p>
        </w:tc>
      </w:tr>
    </w:tbl>
    <w:p>
      <w:pPr>
        <w:pStyle w:val="TextBody"/>
        <w:bidi w:val="0"/>
        <w:spacing w:before="0" w:after="0"/>
        <w:ind w:left="81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each authorised but unissued Class B ordinary share of US$0.08 par value each be subdivided into 800 Class B ordinary shares of US$0.0001 par value each,</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“Subdivision”);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Capital Cancellation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immediately following the Subdivision, the authorised share capital of the Company be altered by the cancellation of such number of unissued Class A ordinary shares of US$0.0001 par value each and unissued Class B ordinary shares of US$0.0001 par value each that will result in the Company having authorised share capital of US$412,500 divided into 4,110,000,000 Class A ordinary shares of US$0.0001 par value each and 15,000,000 Class B ordinary shares of US$0.0001 par value each (the “Cancellation”);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Authorised Share Capital Confirmation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10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immediately following the Share Capital Reduction, the Subdivision and Cancellation, the authorised share capital of the Company shall be US$412,500 divided into 4,110,000,000 Class A ordinary shares of US$0.0001 par value each and 15,000,000 Class B ordinary shares of US$0.0001 par value each.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the Registrar of Companies of the Cayman Islands (the “Cayman Registrar”) approved the Share Capital Reduction and Reorganisation. The Company has completed registration with the Cayman Registrar of the relevant minute and its Amended and Restated Memorandum and Articles of Association reflecting the Share Capital Reduction and Reorganisation, a copy of which is attached hereto as Exhibit 3.1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and pursuant to the Amended and Restated Memorandum and Articles of Association, the Company’s authorized share capital is now US$412,500 divided into 4,110,000,000 Class A ordinary shares of US$0.0001 par value each and 15,000,000 Class B ordinary shares of US$0.0001 par value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jc w:val="center"/>
        <w:rPr>
          <w:caps w:val="false"/>
          <w:smallCaps w:val="false"/>
        </w:rPr>
      </w:pPr>
      <w:r>
        <w:rPr>
          <w:caps w:val="false"/>
          <w:smallCaps w:val="false"/>
        </w:rPr>
        <w:t> </w:t>
      </w:r>
    </w:p>
    <w:tbl>
      <w:tblPr>
        <w:tblW w:w="8155" w:type="dxa"/>
        <w:jc w:val="left"/>
        <w:tblInd w:w="0" w:type="dxa"/>
        <w:tblLayout w:type="fixed"/>
        <w:tblCellMar>
          <w:top w:w="0" w:type="dxa"/>
          <w:left w:w="0" w:type="dxa"/>
          <w:bottom w:w="28" w:type="dxa"/>
          <w:right w:w="0" w:type="dxa"/>
        </w:tblCellMar>
      </w:tblPr>
      <w:tblGrid>
        <w:gridCol w:w="995"/>
        <w:gridCol w:w="60"/>
        <w:gridCol w:w="7100"/>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710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0" w:type="dxa"/>
            <w:tcBorders/>
            <w:shd w:fill="CCEEFF" w:val="clear"/>
            <w:tcMar>
              <w:bottom w:w="0" w:type="dxa"/>
            </w:tcMar>
            <w:vAlign w:val="center"/>
          </w:tcPr>
          <w:p>
            <w:pPr>
              <w:pStyle w:val="TableContents"/>
              <w:bidi w:val="0"/>
              <w:spacing w:before="0" w:after="283"/>
              <w:jc w:val="left"/>
              <w:rPr/>
            </w:pPr>
            <w:hyperlink w:anchor="ea028180501ex3-1.htm">
              <w:r>
                <w:rPr>
                  <w:rStyle w:val="InternetLink"/>
                  <w:rFonts w:ascii="Times New Roman;Times;Serif" w:hAnsi="Times New Roman;Times;Serif"/>
                  <w:sz w:val="20"/>
                </w:rPr>
                <w:t>Amended and Restated Memorandum of Association of Chanson International Holding</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535" w:type="dxa"/>
        <w:jc w:val="left"/>
        <w:tblInd w:w="0" w:type="dxa"/>
        <w:tblLayout w:type="fixed"/>
        <w:tblCellMar>
          <w:top w:w="0" w:type="dxa"/>
          <w:left w:w="0" w:type="dxa"/>
          <w:bottom w:w="0" w:type="dxa"/>
          <w:right w:w="0" w:type="dxa"/>
        </w:tblCellMar>
      </w:tblPr>
      <w:tblGrid>
        <w:gridCol w:w="1805"/>
        <w:gridCol w:w="635"/>
        <w:gridCol w:w="3095"/>
      </w:tblGrid>
      <w:tr>
        <w:trPr/>
        <w:tc>
          <w:tcPr>
            <w:tcW w:w="180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Chanson International Holding</w:t>
            </w:r>
          </w:p>
        </w:tc>
      </w:tr>
      <w:tr>
        <w:trPr/>
        <w:tc>
          <w:tcPr>
            <w:tcW w:w="180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March 16, 2026</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i/>
                <w:sz w:val="20"/>
              </w:rPr>
              <w:t>Gang Li</w:t>
            </w:r>
          </w:p>
        </w:tc>
      </w:tr>
      <w:tr>
        <w:trPr/>
        <w:tc>
          <w:tcPr>
            <w:tcW w:w="180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Gang Li</w:t>
            </w:r>
          </w:p>
        </w:tc>
      </w:tr>
      <w:tr>
        <w:trPr/>
        <w:tc>
          <w:tcPr>
            <w:tcW w:w="180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Director, and</w:t>
              <w:br/>
              <w:t>Chairman of the Board of Directors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right"/>
        <w:rPr>
          <w:b/>
        </w:rPr>
      </w:pPr>
      <w:bookmarkStart w:id="2" w:name="ea028180501ex3-1.htm"/>
      <w:bookmarkStart w:id="3" w:name="ksea028180501ex31"/>
      <w:bookmarkEnd w:id="2"/>
      <w:bookmarkEnd w:id="3"/>
      <w:r>
        <w:rPr>
          <w:b/>
        </w:rPr>
        <w:t>Exhibit 3.1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Memorandum of Association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Chanson International Holding</w:t>
      </w:r>
    </w:p>
    <w:p>
      <w:pPr>
        <w:pStyle w:val="TextBody"/>
        <w:bidi w:val="0"/>
        <w:spacing w:before="0" w:after="0"/>
        <w:jc w:val="center"/>
        <w:rPr>
          <w:rFonts w:eastAsia="Times New Roman;Times;Serif"/>
          <w:b w:val="false"/>
          <w:i w:val="false"/>
          <w:caps w:val="false"/>
          <w:smallCaps w:val="false"/>
          <w:sz w:val="20"/>
        </w:rPr>
      </w:pPr>
      <w:r>
        <w:rPr>
          <w:rFonts w:eastAsia="Times New Roman;Times;Serif"/>
          <w:b w:val="false"/>
          <w:i w:val="false"/>
          <w:caps w:val="false"/>
          <w:smallCaps w:val="false"/>
          <w:sz w:val="20"/>
        </w:rPr>
        <w:t>香颂国际控股公司</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23 February 2026 and made effective on 6 March 2026 (with such special resolution being reflected in paragraph 4 of the director’s certificate accompanying the filing of this Memorandum of Association with the Registrar of Companies))</w:t>
      </w:r>
    </w:p>
    <w:p>
      <w:pPr>
        <w:pStyle w:val="TextBody"/>
        <w:bidi w:val="0"/>
        <w:spacing w:before="0" w:after="0"/>
        <w:jc w:val="center"/>
        <w:rPr>
          <w:caps w:val="false"/>
          <w:smallCaps w:val="false"/>
        </w:rPr>
      </w:pPr>
      <w:r>
        <w:rPr>
          <w:caps w:val="false"/>
          <w:smallCaps w:val="false"/>
        </w:rPr>
        <w:t> </w:t>
      </w:r>
    </w:p>
    <w:tbl>
      <w:tblPr>
        <w:tblW w:w="4310" w:type="dxa"/>
        <w:jc w:val="left"/>
        <w:tblInd w:w="0" w:type="dxa"/>
        <w:tblLayout w:type="fixed"/>
        <w:tblCellMar>
          <w:top w:w="0" w:type="dxa"/>
          <w:left w:w="0" w:type="dxa"/>
          <w:bottom w:w="0" w:type="dxa"/>
          <w:right w:w="0" w:type="dxa"/>
        </w:tblCellMar>
      </w:tblPr>
      <w:tblGrid>
        <w:gridCol w:w="75"/>
        <w:gridCol w:w="2720"/>
        <w:gridCol w:w="1515"/>
      </w:tblGrid>
      <w:tr>
        <w:trPr/>
        <w:tc>
          <w:tcPr>
            <w:tcW w:w="7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www.verify.gov.ky File#: 354115</w:t>
            </w:r>
          </w:p>
        </w:tc>
        <w:tc>
          <w:tcPr>
            <w:tcW w:w="1515" w:type="dxa"/>
            <w:tcBorders/>
            <w:vAlign w:val="center"/>
          </w:tcPr>
          <w:p>
            <w:pPr>
              <w:pStyle w:val="TableContents"/>
              <w:bidi w:val="0"/>
              <w:spacing w:before="0" w:after="283"/>
              <w:jc w:val="right"/>
              <w:rPr/>
            </w:pPr>
            <w:r>
              <w:rPr/>
              <w:drawing>
                <wp:inline distT="0" distB="0" distL="0" distR="0">
                  <wp:extent cx="952500" cy="1866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 cy="1866900"/>
                          </a:xfrm>
                          <a:prstGeom prst="rect">
                            <a:avLst/>
                          </a:prstGeom>
                        </pic:spPr>
                      </pic:pic>
                    </a:graphicData>
                  </a:graphic>
                </wp:inline>
              </w:drawing>
            </w:r>
          </w:p>
        </w:tc>
      </w:tr>
      <w:tr>
        <w:trPr/>
        <w:tc>
          <w:tcPr>
            <w:tcW w:w="7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pPr>
            <w:r>
              <w:rPr/>
              <w:t> </w:t>
            </w:r>
          </w:p>
        </w:tc>
        <w:tc>
          <w:tcPr>
            <w:tcW w:w="151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Memorandum of Association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Chanson International Holding</w:t>
      </w:r>
    </w:p>
    <w:p>
      <w:pPr>
        <w:pStyle w:val="TextBody"/>
        <w:bidi w:val="0"/>
        <w:spacing w:before="0" w:after="0"/>
        <w:jc w:val="center"/>
        <w:rPr>
          <w:rFonts w:eastAsia="Times New Roman;Times;Serif"/>
          <w:b w:val="false"/>
          <w:i w:val="false"/>
          <w:caps w:val="false"/>
          <w:smallCaps w:val="false"/>
          <w:sz w:val="20"/>
        </w:rPr>
      </w:pPr>
      <w:r>
        <w:rPr>
          <w:rFonts w:eastAsia="Times New Roman;Times;Serif"/>
          <w:b w:val="false"/>
          <w:i w:val="false"/>
          <w:caps w:val="false"/>
          <w:smallCaps w:val="false"/>
          <w:sz w:val="20"/>
        </w:rPr>
        <w:t>香颂国际控股公司</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23 February 2026 and made effective on 6 March 2026 (with such special resolution being reflected in paragraph 4 of the director’s certificate accompanying the filing of this Memorandum of Association with the Registrar of Companies))</w:t>
      </w:r>
    </w:p>
    <w:p>
      <w:pPr>
        <w:pStyle w:val="TextBody"/>
        <w:bidi w:val="0"/>
        <w:spacing w:before="0" w:after="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283"/>
              <w:jc w:val="left"/>
              <w:rPr/>
            </w:pPr>
            <w:r>
              <w:rPr/>
              <w:t>1</w:t>
            </w:r>
          </w:p>
        </w:tc>
        <w:tc>
          <w:tcPr>
            <w:tcW w:w="10007" w:type="dxa"/>
            <w:tcBorders/>
            <w:vAlign w:val="center"/>
          </w:tcPr>
          <w:p>
            <w:pPr>
              <w:pStyle w:val="TableContents"/>
              <w:bidi w:val="0"/>
              <w:spacing w:before="0" w:after="283"/>
              <w:jc w:val="left"/>
              <w:rPr/>
            </w:pPr>
            <w:r>
              <w:rPr/>
              <w:t xml:space="preserve">The name of the Company is Chanson International Holding </w:t>
            </w:r>
            <w:r>
              <w:rPr>
                <w:rFonts w:eastAsia="Times New Roman;Times;Serif"/>
              </w:rPr>
              <w:t>香颂国际控股公司</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pPr>
            <w:r>
              <w:rPr/>
              <w:t>2</w:t>
            </w:r>
          </w:p>
        </w:tc>
        <w:tc>
          <w:tcPr>
            <w:tcW w:w="10051" w:type="dxa"/>
            <w:tcBorders/>
            <w:vAlign w:val="center"/>
          </w:tcPr>
          <w:p>
            <w:pPr>
              <w:pStyle w:val="TableContents"/>
              <w:bidi w:val="0"/>
              <w:spacing w:before="0" w:after="283"/>
              <w:jc w:val="left"/>
              <w:rPr/>
            </w:pPr>
            <w:r>
              <w:rPr/>
              <w:t>The Company’s registered office will be situated at the offices of Harneys Fiduciary (Cayman) Limited, 4th Floor, Harbour Place, 103 South Church Street, PO Box 10240, Grand Cayman, KY1-1002 Cayman Islands, or at such other place in the Cayman Islands as the directors may at any time decide.</w:t>
            </w:r>
          </w:p>
        </w:tc>
      </w:tr>
    </w:tbl>
    <w:p>
      <w:pPr>
        <w:pStyle w:val="TextBody"/>
        <w:bidi w:val="0"/>
        <w:spacing w:before="0" w:after="0"/>
        <w:ind w:left="1047" w:right="0" w:hanging="711"/>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pPr>
            <w:r>
              <w:rPr/>
              <w:t>3</w:t>
            </w:r>
          </w:p>
        </w:tc>
        <w:tc>
          <w:tcPr>
            <w:tcW w:w="10051" w:type="dxa"/>
            <w:tcBorders/>
            <w:vAlign w:val="center"/>
          </w:tcPr>
          <w:p>
            <w:pPr>
              <w:pStyle w:val="TableContents"/>
              <w:bidi w:val="0"/>
              <w:spacing w:before="0" w:after="283"/>
              <w:jc w:val="left"/>
              <w:rPr/>
            </w:pPr>
            <w:r>
              <w:rPr/>
              <w:t>The Company’s objects are unrestricted. As provided by section 7(4) of the Companies Act (Revised), the Company has full power and authority to carry out any object not prohibited by any law of the Cayman Islands.</w:t>
            </w:r>
          </w:p>
        </w:tc>
      </w:tr>
    </w:tbl>
    <w:p>
      <w:pPr>
        <w:pStyle w:val="TextBody"/>
        <w:bidi w:val="0"/>
        <w:spacing w:before="0" w:after="0"/>
        <w:ind w:left="1047" w:right="0" w:hanging="711"/>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pPr>
            <w:r>
              <w:rPr/>
              <w:t>4</w:t>
            </w:r>
          </w:p>
        </w:tc>
        <w:tc>
          <w:tcPr>
            <w:tcW w:w="10051" w:type="dxa"/>
            <w:tcBorders/>
            <w:vAlign w:val="center"/>
          </w:tcPr>
          <w:p>
            <w:pPr>
              <w:pStyle w:val="TableContents"/>
              <w:bidi w:val="0"/>
              <w:spacing w:before="0" w:after="283"/>
              <w:jc w:val="left"/>
              <w:rPr/>
            </w:pPr>
            <w:r>
              <w:rPr/>
              <w:t>The Company has unrestricted corporate capacity. Without limitation to the foregoing, as provided by section 27 (2) of the Companies Act (Revised), the Company has and is capable of exercising all the functions of a natural person of full capacity irrespective of any question of corporate benefit.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pPr>
            <w:r>
              <w:rPr/>
              <w:t>5</w:t>
            </w:r>
          </w:p>
        </w:tc>
        <w:tc>
          <w:tcPr>
            <w:tcW w:w="10051" w:type="dxa"/>
            <w:tcBorders/>
            <w:vAlign w:val="center"/>
          </w:tcPr>
          <w:p>
            <w:pPr>
              <w:pStyle w:val="TableContents"/>
              <w:bidi w:val="0"/>
              <w:spacing w:before="0" w:after="283"/>
              <w:jc w:val="left"/>
              <w:rPr/>
            </w:pPr>
            <w:r>
              <w:rPr/>
              <w:t>Nothing in any of the preceding paragraphs permits the Company to carry on any of the following businesses without being duly licensed, namely: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(a)</w:t>
            </w:r>
          </w:p>
        </w:tc>
        <w:tc>
          <w:tcPr>
            <w:tcW w:w="9911" w:type="dxa"/>
            <w:tcBorders/>
            <w:vAlign w:val="center"/>
          </w:tcPr>
          <w:p>
            <w:pPr>
              <w:pStyle w:val="TableContents"/>
              <w:bidi w:val="0"/>
              <w:spacing w:before="0" w:after="283"/>
              <w:jc w:val="left"/>
              <w:rPr/>
            </w:pPr>
            <w:r>
              <w:rPr/>
              <w:t>the business of a bank or trust company without being licensed in that behalf under the Banks and Trust Companies Act (Revised); or</w:t>
            </w:r>
          </w:p>
        </w:tc>
      </w:tr>
    </w:tbl>
    <w:p>
      <w:pPr>
        <w:pStyle w:val="TextBody"/>
        <w:bidi w:val="0"/>
        <w:spacing w:before="0" w:after="0"/>
        <w:ind w:left="1753" w:right="0" w:hanging="706"/>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(b)</w:t>
            </w:r>
          </w:p>
        </w:tc>
        <w:tc>
          <w:tcPr>
            <w:tcW w:w="9915" w:type="dxa"/>
            <w:tcBorders/>
            <w:vAlign w:val="center"/>
          </w:tcPr>
          <w:p>
            <w:pPr>
              <w:pStyle w:val="TableContents"/>
              <w:bidi w:val="0"/>
              <w:spacing w:before="0" w:after="283"/>
              <w:jc w:val="left"/>
              <w:rPr/>
            </w:pPr>
            <w:r>
              <w:rPr/>
              <w:t>insurance business from within the Cayman Islands or the business of an insurance manager, agent, sub-agent or broker without being licensed in that behalf under the Insurance Act (Revised); or</w:t>
            </w:r>
          </w:p>
        </w:tc>
      </w:tr>
    </w:tbl>
    <w:p>
      <w:pPr>
        <w:pStyle w:val="TextBody"/>
        <w:bidi w:val="0"/>
        <w:spacing w:before="0" w:after="0"/>
        <w:ind w:left="1753" w:right="0" w:hanging="706"/>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(c)</w:t>
            </w:r>
          </w:p>
        </w:tc>
        <w:tc>
          <w:tcPr>
            <w:tcW w:w="9907" w:type="dxa"/>
            <w:tcBorders/>
            <w:vAlign w:val="center"/>
          </w:tcPr>
          <w:p>
            <w:pPr>
              <w:pStyle w:val="TableContents"/>
              <w:bidi w:val="0"/>
              <w:spacing w:before="0" w:after="283"/>
              <w:jc w:val="left"/>
              <w:rPr/>
            </w:pPr>
            <w:r>
              <w:rPr/>
              <w:t>the business of company management without being licensed in that behalf under the Companies Management Act (Revised).</w:t>
            </w:r>
          </w:p>
        </w:tc>
      </w:tr>
    </w:tbl>
    <w:p>
      <w:pPr>
        <w:pStyle w:val="TextBody"/>
        <w:bidi w:val="0"/>
        <w:spacing w:before="0" w:after="0"/>
        <w:ind w:left="1047" w:right="0" w:hanging="711"/>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pPr>
            <w:r>
              <w:rPr/>
              <w:t>6</w:t>
            </w:r>
          </w:p>
        </w:tc>
        <w:tc>
          <w:tcPr>
            <w:tcW w:w="10051" w:type="dxa"/>
            <w:tcBorders/>
            <w:vAlign w:val="center"/>
          </w:tcPr>
          <w:p>
            <w:pPr>
              <w:pStyle w:val="TableContents"/>
              <w:bidi w:val="0"/>
              <w:spacing w:before="0" w:after="283"/>
              <w:jc w:val="left"/>
              <w:rPr/>
            </w:pPr>
            <w:r>
              <w:rPr/>
              <w:t>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tc>
      </w:tr>
    </w:tbl>
    <w:p>
      <w:pPr>
        <w:pStyle w:val="TextBody"/>
        <w:bidi w:val="0"/>
        <w:spacing w:before="0" w:after="0"/>
        <w:ind w:left="1047" w:right="0" w:hanging="711"/>
        <w:jc w:val="left"/>
        <w:rPr>
          <w:caps w:val="false"/>
          <w:smallCaps w:val="false"/>
        </w:rPr>
      </w:pPr>
      <w:r>
        <w:rPr>
          <w:caps w:val="false"/>
          <w:smallCaps w:val="false"/>
        </w:rPr>
        <w:t> </w:t>
      </w:r>
    </w:p>
    <w:tbl>
      <w:tblPr>
        <w:tblW w:w="4310" w:type="dxa"/>
        <w:jc w:val="left"/>
        <w:tblInd w:w="0" w:type="dxa"/>
        <w:tblLayout w:type="fixed"/>
        <w:tblCellMar>
          <w:top w:w="0" w:type="dxa"/>
          <w:left w:w="0" w:type="dxa"/>
          <w:bottom w:w="0" w:type="dxa"/>
          <w:right w:w="0" w:type="dxa"/>
        </w:tblCellMar>
      </w:tblPr>
      <w:tblGrid>
        <w:gridCol w:w="75"/>
        <w:gridCol w:w="2720"/>
        <w:gridCol w:w="1515"/>
      </w:tblGrid>
      <w:tr>
        <w:trPr/>
        <w:tc>
          <w:tcPr>
            <w:tcW w:w="7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jc w:val="center"/>
              <w:rPr/>
            </w:pPr>
            <w:r>
              <w:rPr/>
              <w:t>2</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www.verify.gov.ky File#: 354115</w:t>
            </w:r>
          </w:p>
        </w:tc>
        <w:tc>
          <w:tcPr>
            <w:tcW w:w="1515" w:type="dxa"/>
            <w:tcBorders/>
            <w:vAlign w:val="center"/>
          </w:tcPr>
          <w:p>
            <w:pPr>
              <w:pStyle w:val="TableContents"/>
              <w:bidi w:val="0"/>
              <w:spacing w:before="0" w:after="283"/>
              <w:jc w:val="right"/>
              <w:rPr/>
            </w:pPr>
            <w:r>
              <w:rPr/>
              <w:drawing>
                <wp:inline distT="0" distB="0" distL="0" distR="0">
                  <wp:extent cx="952500" cy="1866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 cy="1866900"/>
                          </a:xfrm>
                          <a:prstGeom prst="rect">
                            <a:avLst/>
                          </a:prstGeom>
                        </pic:spPr>
                      </pic:pic>
                    </a:graphicData>
                  </a:graphic>
                </wp:inline>
              </w:drawing>
            </w:r>
          </w:p>
        </w:tc>
      </w:tr>
      <w:tr>
        <w:trPr/>
        <w:tc>
          <w:tcPr>
            <w:tcW w:w="7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pPr>
            <w:r>
              <w:rPr/>
              <w:t> </w:t>
            </w:r>
          </w:p>
        </w:tc>
        <w:tc>
          <w:tcPr>
            <w:tcW w:w="151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047" w:right="0" w:hanging="711"/>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pPr>
            <w:r>
              <w:rPr/>
              <w:t>7</w:t>
            </w:r>
          </w:p>
        </w:tc>
        <w:tc>
          <w:tcPr>
            <w:tcW w:w="10051" w:type="dxa"/>
            <w:tcBorders/>
            <w:vAlign w:val="center"/>
          </w:tcPr>
          <w:p>
            <w:pPr>
              <w:pStyle w:val="TableContents"/>
              <w:bidi w:val="0"/>
              <w:spacing w:before="0" w:after="283"/>
              <w:jc w:val="left"/>
              <w:rPr/>
            </w:pPr>
            <w:r>
              <w:rPr/>
              <w:t>The Company is a company limited by shares and accordingly the liability of each member is limited to the amount (if any) unpaid on that member’s shares.</w:t>
            </w:r>
          </w:p>
        </w:tc>
      </w:tr>
    </w:tbl>
    <w:p>
      <w:pPr>
        <w:pStyle w:val="TextBody"/>
        <w:bidi w:val="0"/>
        <w:spacing w:before="0" w:after="0"/>
        <w:ind w:left="1047" w:right="0" w:hanging="711"/>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pPr>
            <w:r>
              <w:rPr/>
              <w:t>8</w:t>
            </w:r>
          </w:p>
        </w:tc>
        <w:tc>
          <w:tcPr>
            <w:tcW w:w="10051" w:type="dxa"/>
            <w:tcBorders/>
            <w:vAlign w:val="center"/>
          </w:tcPr>
          <w:p>
            <w:pPr>
              <w:pStyle w:val="TableContents"/>
              <w:bidi w:val="0"/>
              <w:spacing w:before="0" w:after="283"/>
              <w:jc w:val="left"/>
              <w:rPr/>
            </w:pPr>
            <w:r>
              <w:rPr/>
              <w:t>The share capital of the Company is US$412,500 divided into 4,110,000,000 Class A ordinary shares of US$0.0001 par value each and 15,000,000 Class B ordinary Shares of US$0.0001 par value each. Subject to the Companies Act (Revised) and the Company’s articles of association, the Company has power to do any one or more of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4653" w:type="dxa"/>
        <w:jc w:val="left"/>
        <w:tblInd w:w="0" w:type="dxa"/>
        <w:tblLayout w:type="fixed"/>
        <w:tblCellMar>
          <w:top w:w="0" w:type="dxa"/>
          <w:left w:w="0" w:type="dxa"/>
          <w:bottom w:w="0" w:type="dxa"/>
          <w:right w:w="0" w:type="dxa"/>
        </w:tblCellMar>
      </w:tblPr>
      <w:tblGrid>
        <w:gridCol w:w="38"/>
        <w:gridCol w:w="275"/>
        <w:gridCol w:w="43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4340" w:type="dxa"/>
            <w:tcBorders/>
            <w:vAlign w:val="center"/>
          </w:tcPr>
          <w:p>
            <w:pPr>
              <w:pStyle w:val="TableContents"/>
              <w:bidi w:val="0"/>
              <w:spacing w:before="0" w:after="283"/>
              <w:jc w:val="left"/>
              <w:rPr/>
            </w:pPr>
            <w:r>
              <w:rPr/>
              <w:t>to redeem or repurchase any of its shares; and</w:t>
            </w:r>
          </w:p>
        </w:tc>
      </w:tr>
    </w:tbl>
    <w:p>
      <w:pPr>
        <w:pStyle w:val="TextBody"/>
        <w:bidi w:val="0"/>
        <w:spacing w:before="0" w:after="0"/>
        <w:ind w:left="0" w:right="0" w:hanging="0"/>
        <w:jc w:val="left"/>
        <w:rPr>
          <w:caps w:val="false"/>
          <w:smallCaps w:val="false"/>
        </w:rPr>
      </w:pPr>
      <w:r>
        <w:rPr>
          <w:caps w:val="false"/>
          <w:smallCaps w:val="false"/>
        </w:rPr>
        <w:t> </w:t>
      </w:r>
    </w:p>
    <w:tbl>
      <w:tblPr>
        <w:tblW w:w="3723" w:type="dxa"/>
        <w:jc w:val="left"/>
        <w:tblInd w:w="0" w:type="dxa"/>
        <w:tblLayout w:type="fixed"/>
        <w:tblCellMar>
          <w:top w:w="0" w:type="dxa"/>
          <w:left w:w="0" w:type="dxa"/>
          <w:bottom w:w="0" w:type="dxa"/>
          <w:right w:w="0" w:type="dxa"/>
        </w:tblCellMar>
      </w:tblPr>
      <w:tblGrid>
        <w:gridCol w:w="38"/>
        <w:gridCol w:w="29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3395" w:type="dxa"/>
            <w:tcBorders/>
            <w:vAlign w:val="center"/>
          </w:tcPr>
          <w:p>
            <w:pPr>
              <w:pStyle w:val="TableContents"/>
              <w:bidi w:val="0"/>
              <w:spacing w:before="0" w:after="283"/>
              <w:jc w:val="left"/>
              <w:rPr/>
            </w:pPr>
            <w:r>
              <w:rPr/>
              <w:t>to increase or reduce its capital; and</w:t>
            </w:r>
          </w:p>
        </w:tc>
      </w:tr>
    </w:tbl>
    <w:p>
      <w:pPr>
        <w:pStyle w:val="TextBody"/>
        <w:bidi w:val="0"/>
        <w:spacing w:before="0" w:after="0"/>
        <w:ind w:left="0" w:right="0" w:hanging="0"/>
        <w:jc w:val="left"/>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275"/>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7685" w:type="dxa"/>
            <w:tcBorders/>
            <w:vAlign w:val="center"/>
          </w:tcPr>
          <w:p>
            <w:pPr>
              <w:pStyle w:val="TableContents"/>
              <w:bidi w:val="0"/>
              <w:spacing w:before="0" w:after="283"/>
              <w:jc w:val="left"/>
              <w:rPr/>
            </w:pPr>
            <w:r>
              <w:rPr/>
              <w:t>to issue any part of its capital (whether original, redeemed, increased or reduced):</w:t>
            </w:r>
          </w:p>
        </w:tc>
      </w:tr>
    </w:tbl>
    <w:p>
      <w:pPr>
        <w:pStyle w:val="TextBody"/>
        <w:bidi w:val="0"/>
        <w:spacing w:before="0" w:after="0"/>
        <w:ind w:left="0" w:right="0" w:hanging="0"/>
        <w:jc w:val="left"/>
        <w:rPr>
          <w:caps w:val="false"/>
          <w:smallCaps w:val="false"/>
        </w:rPr>
      </w:pPr>
      <w:r>
        <w:rPr>
          <w:caps w:val="false"/>
          <w:smallCaps w:val="false"/>
        </w:rPr>
        <w:t> </w:t>
      </w:r>
    </w:p>
    <w:tbl>
      <w:tblPr>
        <w:tblW w:w="9318" w:type="dxa"/>
        <w:jc w:val="left"/>
        <w:tblInd w:w="0" w:type="dxa"/>
        <w:tblLayout w:type="fixed"/>
        <w:tblCellMar>
          <w:top w:w="0" w:type="dxa"/>
          <w:left w:w="0" w:type="dxa"/>
          <w:bottom w:w="0" w:type="dxa"/>
          <w:right w:w="0" w:type="dxa"/>
        </w:tblCellMar>
      </w:tblPr>
      <w:tblGrid>
        <w:gridCol w:w="38"/>
        <w:gridCol w:w="230"/>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9050" w:type="dxa"/>
            <w:tcBorders/>
            <w:vAlign w:val="center"/>
          </w:tcPr>
          <w:p>
            <w:pPr>
              <w:pStyle w:val="TableContents"/>
              <w:bidi w:val="0"/>
              <w:spacing w:before="0" w:after="283"/>
              <w:jc w:val="left"/>
              <w:rPr/>
            </w:pPr>
            <w:r>
              <w:rPr/>
              <w:t>with or without any preferential, deferred, qualified or special rights, privileges or conditions; or</w:t>
            </w:r>
          </w:p>
        </w:tc>
      </w:tr>
    </w:tbl>
    <w:p>
      <w:pPr>
        <w:pStyle w:val="TextBody"/>
        <w:bidi w:val="0"/>
        <w:spacing w:before="0" w:after="0"/>
        <w:ind w:left="0" w:right="0" w:hanging="0"/>
        <w:jc w:val="left"/>
        <w:rPr>
          <w:caps w:val="false"/>
          <w:smallCaps w:val="false"/>
        </w:rPr>
      </w:pPr>
      <w:r>
        <w:rPr>
          <w:caps w:val="false"/>
          <w:smallCaps w:val="false"/>
        </w:rPr>
        <w:t> </w:t>
      </w:r>
    </w:p>
    <w:tbl>
      <w:tblPr>
        <w:tblW w:w="4038" w:type="dxa"/>
        <w:jc w:val="left"/>
        <w:tblInd w:w="0" w:type="dxa"/>
        <w:tblLayout w:type="fixed"/>
        <w:tblCellMar>
          <w:top w:w="0" w:type="dxa"/>
          <w:left w:w="0" w:type="dxa"/>
          <w:bottom w:w="0" w:type="dxa"/>
          <w:right w:w="0" w:type="dxa"/>
        </w:tblCellMar>
      </w:tblPr>
      <w:tblGrid>
        <w:gridCol w:w="38"/>
        <w:gridCol w:w="290"/>
        <w:gridCol w:w="37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3710" w:type="dxa"/>
            <w:tcBorders/>
            <w:vAlign w:val="center"/>
          </w:tcPr>
          <w:p>
            <w:pPr>
              <w:pStyle w:val="TableContents"/>
              <w:bidi w:val="0"/>
              <w:spacing w:before="0" w:after="283"/>
              <w:jc w:val="left"/>
              <w:rPr/>
            </w:pPr>
            <w:r>
              <w:rPr/>
              <w:t>subject to any limitations or restrictions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unless the condition of issue expressly declares otherwise, every issue of shares (whether declared to be ordinary, preference or otherwise) is subject to this power; or</w:t>
      </w:r>
    </w:p>
    <w:p>
      <w:pPr>
        <w:pStyle w:val="TextBody"/>
        <w:bidi w:val="0"/>
        <w:spacing w:before="0" w:after="0"/>
        <w:ind w:left="0" w:right="0" w:hanging="0"/>
        <w:jc w:val="left"/>
        <w:rPr>
          <w:caps w:val="false"/>
          <w:smallCaps w:val="false"/>
        </w:rPr>
      </w:pPr>
      <w:r>
        <w:rPr>
          <w:caps w:val="false"/>
          <w:smallCaps w:val="false"/>
        </w:rPr>
        <w:t> </w:t>
      </w:r>
    </w:p>
    <w:tbl>
      <w:tblPr>
        <w:tblW w:w="7428" w:type="dxa"/>
        <w:jc w:val="left"/>
        <w:tblInd w:w="0" w:type="dxa"/>
        <w:tblLayout w:type="fixed"/>
        <w:tblCellMar>
          <w:top w:w="0" w:type="dxa"/>
          <w:left w:w="0" w:type="dxa"/>
          <w:bottom w:w="0" w:type="dxa"/>
          <w:right w:w="0" w:type="dxa"/>
        </w:tblCellMar>
      </w:tblPr>
      <w:tblGrid>
        <w:gridCol w:w="38"/>
        <w:gridCol w:w="290"/>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7100" w:type="dxa"/>
            <w:tcBorders/>
            <w:vAlign w:val="center"/>
          </w:tcPr>
          <w:p>
            <w:pPr>
              <w:pStyle w:val="TableContents"/>
              <w:bidi w:val="0"/>
              <w:spacing w:before="0" w:after="283"/>
              <w:jc w:val="left"/>
              <w:rPr/>
            </w:pPr>
            <w:r>
              <w:rPr/>
              <w:t>to alter any of those rights, privileges, conditions, limitations or restrictions.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pPr>
            <w:r>
              <w:rPr/>
              <w:t>9</w:t>
            </w:r>
          </w:p>
        </w:tc>
        <w:tc>
          <w:tcPr>
            <w:tcW w:w="10051" w:type="dxa"/>
            <w:tcBorders/>
            <w:vAlign w:val="center"/>
          </w:tcPr>
          <w:p>
            <w:pPr>
              <w:pStyle w:val="TableContents"/>
              <w:bidi w:val="0"/>
              <w:spacing w:before="0" w:after="283"/>
              <w:jc w:val="left"/>
              <w:rPr/>
            </w:pPr>
            <w:r>
              <w:rPr/>
              <w:t>The Company has power to register by way of continuation as a body corporate limited by shares under the laws of any jurisdiction outside the Cayman Islands and to be deregistered in the Cayman Islands.</w:t>
            </w:r>
          </w:p>
        </w:tc>
      </w:tr>
    </w:tbl>
    <w:p>
      <w:pPr>
        <w:pStyle w:val="TextBody"/>
        <w:bidi w:val="0"/>
        <w:spacing w:before="0" w:after="283"/>
        <w:jc w:val="left"/>
        <w:rPr/>
      </w:pPr>
      <w:r>
        <w:rPr/>
        <w:t> </w:t>
      </w:r>
    </w:p>
    <w:tbl>
      <w:tblPr>
        <w:tblW w:w="4310" w:type="dxa"/>
        <w:jc w:val="left"/>
        <w:tblInd w:w="0" w:type="dxa"/>
        <w:tblLayout w:type="fixed"/>
        <w:tblCellMar>
          <w:top w:w="0" w:type="dxa"/>
          <w:left w:w="0" w:type="dxa"/>
          <w:bottom w:w="0" w:type="dxa"/>
          <w:right w:w="0" w:type="dxa"/>
        </w:tblCellMar>
      </w:tblPr>
      <w:tblGrid>
        <w:gridCol w:w="75"/>
        <w:gridCol w:w="2720"/>
        <w:gridCol w:w="1515"/>
      </w:tblGrid>
      <w:tr>
        <w:trPr/>
        <w:tc>
          <w:tcPr>
            <w:tcW w:w="7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www.verify.gov.ky File#: 354115</w:t>
            </w:r>
          </w:p>
        </w:tc>
        <w:tc>
          <w:tcPr>
            <w:tcW w:w="1515" w:type="dxa"/>
            <w:tcBorders/>
            <w:vAlign w:val="center"/>
          </w:tcPr>
          <w:p>
            <w:pPr>
              <w:pStyle w:val="TableContents"/>
              <w:bidi w:val="0"/>
              <w:spacing w:before="0" w:after="283"/>
              <w:jc w:val="right"/>
              <w:rPr/>
            </w:pPr>
            <w:r>
              <w:rPr/>
              <w:drawing>
                <wp:inline distT="0" distB="0" distL="0" distR="0">
                  <wp:extent cx="952500" cy="1866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52500" cy="1866900"/>
                          </a:xfrm>
                          <a:prstGeom prst="rect">
                            <a:avLst/>
                          </a:prstGeom>
                        </pic:spPr>
                      </pic:pic>
                    </a:graphicData>
                  </a:graphic>
                </wp:inline>
              </w:drawing>
            </w:r>
          </w:p>
        </w:tc>
      </w:tr>
      <w:tr>
        <w:trPr/>
        <w:tc>
          <w:tcPr>
            <w:tcW w:w="7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pPr>
            <w:r>
              <w:rPr/>
              <w:t> </w:t>
            </w:r>
          </w:p>
        </w:tc>
        <w:tc>
          <w:tcPr>
            <w:tcW w:w="151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1400</Words>
  <Characters>7389</Characters>
  <CharactersWithSpaces>8782</CharactersWithSpaces>
  <Paragraphs>236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