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001-41663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B9 Xinjiang Chuangbo Zhigu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100 Guangyuan Road, Shuimogou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Urumqi, Xinjiang, China</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Chanson International Holding, a company incorporated under the laws of the Cayman Islands, hereby furnishes its press release titled “Chanson International Holding Announces Fiscal year 2025 Financial Results” that was published on April 20,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Report on Form 6-K are hereby incorporated by reference into (i) the Company’s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333-288739) filed with the SEC on July 18, 2025 and (ii) the Company’s registration statement on </w:t>
      </w:r>
      <w:hyperlink r:id="rId14">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333-289600) that was initially filed with the SEC on August 14, 2025 and declared effective by the SEC on September 30,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Gang Li</w:t>
            </w:r>
          </w:p>
        </w:tc>
      </w:tr>
      <w:tr>
        <w:trPr>
          <w:trHeight w:val="198"/>
        </w:trPr>
        <w:tc>
          <w:tcPr>
            <w:tcW w:w="3540" w:type="dxa"/>
            <w:vAlign w:val="bottom"/>
          </w:tcPr>
          <w:p>
            <w:pPr>
              <w:spacing w:after="0"/>
              <w:rPr>
                <w:sz w:val="17"/>
                <w:szCs w:val="17"/>
                <w:color w:val="auto"/>
              </w:rPr>
            </w:pPr>
          </w:p>
        </w:tc>
        <w:tc>
          <w:tcPr>
            <w:tcW w:w="378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Li</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w:t>
            </w:r>
          </w:p>
        </w:tc>
      </w:tr>
      <w:tr>
        <w:trPr>
          <w:trHeight w:val="234"/>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titled “Chanson International Holding Announces Fiscal year 2025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20" w:type="dxa"/>
            <w:vAlign w:val="bottom"/>
            <w:tcBorders>
              <w:top w:val="single" w:sz="8" w:color="0000EE"/>
              <w:bottom w:val="single" w:sz="8" w:color="auto"/>
            </w:tcBorders>
          </w:tcPr>
          <w:p>
            <w:pPr>
              <w:jc w:val="right"/>
              <w:ind w:right="2610"/>
              <w:spacing w:after="0"/>
              <w:rPr>
                <w:sz w:val="20"/>
                <w:szCs w:val="20"/>
                <w:color w:val="auto"/>
              </w:rPr>
            </w:pPr>
            <w:r>
              <w:rPr>
                <w:rFonts w:ascii="Times New Roman" w:cs="Times New Roman" w:eastAsia="Times New Roman" w:hAnsi="Times New Roman"/>
                <w:sz w:val="18"/>
                <w:szCs w:val="18"/>
                <w:color w:val="auto"/>
              </w:rPr>
              <w:t>3</w:t>
            </w:r>
          </w:p>
        </w:tc>
        <w:tc>
          <w:tcPr>
            <w:tcW w:w="28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 Announces Fiscal Year 2025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URUMQI, China, April 20, 2026 /PRNewswire/ -- Chanson International Holding (Nasdaq: CHSN) (the “Company” or “Chanson”), a provider of bakery, seasonal, and beverage products through its chain stores in China and the United States, today announced its financial results for the fiscal year ended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Gang Li, Chairman of the Board of Directors and Chief Executive Officer of the Company, commented, “In fiscal year 2025, we delivered revenue of approximately $18.3 million and improved profitability, with gross profit increasing by 14.2% year over year and gross margin expanding to 45.0%. This performance reflects the impact of our product marketing and cost control measures, as well as improved inventory management through enhanced customer traffic forecasting.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remain focused on driving growth and improving profitability. We plan to continue optimizing marketing initiatives, strengthening our product innovation capabilities with a focus on healthy and nutritious products, and enhancing customer engagement through both in-store experiences and online channels. We also expect to further improve margins by maintaining strict cost discipline and leveraging data-driven inventory and demand forecasting. We believe our strategic initiatives position us well to capture growth opportunities and create long-term value for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$18.3 million, an increase of 0.2% from $18.2 million in fiscal year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$8.2 million, an increase of 14.2% from $7.2 million in fiscal year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45.0%, compared to 39.5% in fiscal year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$0.2 million, compared to $0.8 million in fiscal year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earnings per share were $0.03, compared to $3.68 in fiscal year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increased by 0.2% to $18.3 million in fiscal year 2025, from $18.2 million in fiscal year 2024. The increase in revenue was due to increased revenue from our stores in China (the “China Stores”), which was partially offset by decreased revenue from our stores in the United States (the “United States Stores”).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China Stores</w:t>
      </w:r>
    </w:p>
    <w:p>
      <w:pPr>
        <w:spacing w:after="0" w:line="225"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China Stores increased by 1.3% to $16.4 million in fiscal year 2025, from $16.1 million in fiscal year 2024. The increase was mainly due to the increased revenue from other products, which was partially offset by the decrease in revenue from bakery products.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bakery products decreased by 1.1% to $14.6 million in fiscal year 2025, from $14.8 million in fiscal year 2024. The decrease was mainly due to the challenging economic environment, cautious consumer spending, and shifts in consumer spending patterns, such as the transition from in-store consumption to online consumption during fiscal year 2025.</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other products increased by 28.5% to $1.7 million in fiscal year 2025, from $1.3 million in fiscal year 2024. The increase was due to increased revenue from seasonal products, which was partially offset by decreased revenue from beverage products. Revenue from seasonal products increased by $0.5 million, or 52.8%, from $1.0 million in fiscal year 2024 to $1.5 million in fiscal year 2025. The Company established a Product Planning and Promotion Department staffed with dedicated professionals, which has effectively enhanced the marketing and promotion of seasonal products, and the Company received more seasonal products purchase orders. Revenue from beverage products decreased by $0.1 million, or 35.2%, from $0.4 million in fiscal year 2024 to $0.2 million in fiscal year 2025. The opening of new stores by several well-known coffee chain brands in Xinjiang, offering products at low prices to gain market share, provided customers with more choices and contributed to a decline in beverage product revenue from the China Stores. As of December 31, 2025, two coffee bakery stores were closed, one in fiscal year 2024 and another in the first half of fiscal year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 Stores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United States Stores decreased by 8.4% to $1.9 million in fiscal year 2025, from $2.1 million in fiscal year 2024. The decrease was mainly due to decreased revenue from bakery products and eat-in services, which was partially offset by the increased revenue from beverage products.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bakery products decreased by 50.4% to $0.3 million in fiscal year 2025, from $0.5 million in fiscal year 2024. The decrease was due to the decreased revenue from Chanson 23rd Street LLC (“Chanson 23rd Street”) of approximately $0.2 million and Chanson 1293 3rd Ave LLC (“Chanson 3rd Ave”) of approximately $21,000. Facing increased competition from competitors operating in the same area, Chanson 23rd Street suspended its business operation of bakery products in April 2025 and Chanson 3rd Ave suspended all business operation in January 2025. However, the decrease in revenue from bakery products was partially offset by the increased revenue from Chanson 2040 Broadway LLC (“Chanson Broadway”) of approximately $10,000 as the Company implemented a series of performance-enhancing measures, including extending business hours, optimizing the products mix and offering more sales promotions and price discounts to attract more customers.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beverage products increased by 17.6% to $1.5 million in fiscal year 2025, from $1.3 million in fiscal year 2024. The increase in revenue of beverage products was due to an approximately $0.3 million revenue increase from Chanson 23rd Street and Chanson Broadway. During fiscal year 2025, the Company launched several new types of cocktail products with a variety of new flavors and styles, and implemented the performance-enhancing measures as mentioned above, which led to an increase in private event bookings. The increase in revenue of beverage products was partially offset by the decreased revenue from Chanson 3rd Ave resulting from the suspension of business operation as mentioned above.</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eat-in services decreased by 47.6% to $0.2 million in fiscal year 2025, from $0.3 million in fiscal year 2024. As mentioned above, Chanson 3rd Ave suspended all business operations in January 2025, hence, revenue from eat-in services decreased in fiscal year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profit increased by 14.2%, to $8.2 million in fiscal year 2025, from $7.2 million in fiscal year 2024. The increase was mainly attributable to the overall increase in revenue. Gross margin increased by 5.5 percentage points to 45.0% in fiscal year 2025 from 39.5% in fiscal year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$10.1 million in fiscal year 2025, compared to $7.7 million in fiscal year 2024.</w:t>
      </w:r>
    </w:p>
    <w:p>
      <w:pPr>
        <w:spacing w:after="0" w:line="225"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increased by 31.6%, to $6.3 million in fiscal year 2025, from $4.8 million in fiscal year 2024. The increase was primarily attributable to (i) an increase in rental expenses, renovation expenses and electricity expenses of $0.8 million, as nine stores have been opened in the fiscal year 2025; (ii) an increase in salaries and welfare benefit expenses of $0.6 million, as the China Stores hired additional sales staff for the new stores; and (iii) an increase in online platform service fees of $0.1 million, resulting from the increased online sales on the third-party platform in fiscal year 2025.</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29.6%, to $3.8 million in fiscal year 2025 from $3.0 million in fiscal year 2024. The increase was primarily due to an increase in allowance for credit losses of $0.5 million. The increase was also attributable to the increased audit, legal and professional service fees due to issuance of additional equity security in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$0.2 million in fiscal year 2025, compared to $0.8 million in fiscal year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Earnings per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in fiscal year 2025 was $0.03 based on 5,369,346 weighted average shares, compared to $3.68 in fiscal year 2024 based on 205,296 weighted average shares, in each case retrospectively restated for effect of the reverse share split on August 18,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had cash and cash equivalents of $8.6 million, compared to $12.1 million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$2.9 million in fiscal year 2025, compared to $3.5 million in fiscal year 2024.</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$45.8 million in fiscal year 2025, compared to net cash provided by investing activities of $1.9 million in fiscal year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$39.1 million in fiscal year 2025, compared to $5.4 million in fiscal year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Chanson International Holding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Founded in 2009, Chanson International Holding is a provider of bakery, seasonal, and beverage products through its chain stores in China and the United States. Headquartered in Urumqi, China, Chanson directly operates stores in Xinjiang, China and New York, United States. Chanson currently manages 63 stores in China, and three stores in New York City while selling on digital platforms and third-party online food ordering platforms. Chanson offers not only packaged bakery products but also made-in-store pastries and eat-in services, serving freshly prepared bakery products and extensive beverage products. Chanson aims to make healthy, nutritious, and ready-to-eat food through advanced facilities based on in-depth industry research, while creating a comfortable and distinguishable store environment for customers. Chanson’s dedicated and highly-experienced product development teams constantly create new products that reflect market trends to meet customer demand. For more information, please visit the Company’s website: http://ir.chanson-international.net/.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U.S. Securities and Exchange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IR@chansoninternational.com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8,644,357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12,102,763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1,738,052</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991,467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830,597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738,773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 term loan to a third-party, current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972,787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2,595,417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12,185,793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18,428,420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8,297,961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11,021,615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7,063,992</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4,444,473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226,250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 term security deposits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776,419</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944,170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53,138,801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6,359,014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 term prepaid expenses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296,575</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315,642</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69,799,998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23,347,414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81,985,791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41,775,834</w:t>
            </w:r>
          </w:p>
        </w:tc>
        <w:tc>
          <w:tcPr>
            <w:tcW w:w="80" w:type="dxa"/>
            <w:vAlign w:val="bottom"/>
            <w:shd w:val="clear" w:color="auto" w:fill="CCEEFF"/>
          </w:tcPr>
          <w:p>
            <w:pPr>
              <w:spacing w:after="0"/>
              <w:rPr>
                <w:sz w:val="22"/>
                <w:szCs w:val="22"/>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428,844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1,507,159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bank loans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371,665</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3,779,261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2,127,740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a related party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772,489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249,300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48,712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7,670,555</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6,697,964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1,777,697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2,325,390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823,821</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662,963</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15,107,896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14,142,417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6,021,153</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9,207,971</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bank loans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4,645,810</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10,666,963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9,207,971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25,774,859</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23,350,388</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par value, 4,125,000,000 shares authorized; 38,978,780 shares and 341,247 shares issued</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 *</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 $0.0001 par value, 4,110,000,000 shares authorized; 38,907,905 shares and 270,372 shares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2025 and 2024, respectively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 $0.0001 par value, 15,000,000 shares authorized; 70,875 shares issued and outstanding as of</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54,658,128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17,751,857</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740,816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661,924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499,986</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391,338</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308,105</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(379,707)</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56,210,932</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18,425,446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81,985,791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41,775,834</w:t>
            </w:r>
          </w:p>
        </w:tc>
        <w:tc>
          <w:tcPr>
            <w:tcW w:w="8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the reverse split on August 18, 2025 and the Share Capital Reduction and Reorganization on March 13, 2026.</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31"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gridSpan w:val="8"/>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18,268,894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18,227,537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17,252,662</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10,050,891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11,033,219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9,105,337</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8,218,003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7,194,318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8,147,325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6,261,580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4,757,279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4,882,958</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3,843,548</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2,966,659</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3,874,868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10,105,128</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7,723,938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8,757,826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(1,887,125)</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(529,620)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(610,501)</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(188,327)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35,505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871,967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687,492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193,425</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long term debt investments</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1,465,180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723,945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534,575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2,148,820</w:t>
            </w:r>
          </w:p>
        </w:tc>
        <w:tc>
          <w:tcPr>
            <w:tcW w:w="2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1,360,509</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763,505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261,695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830,889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153,004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(74,155)</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(74,604)</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(119,416)</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187,540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756,285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33,588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687,812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(284,189)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875,352</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472,096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(97,190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ordinary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 shares - basic and diluted *</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5,369,346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right"/>
        <w:ind w:left="5580" w:right="5580" w:hanging="5572"/>
        <w:spacing w:after="0" w:line="541" w:lineRule="auto"/>
        <w:tabs>
          <w:tab w:leader="none" w:pos="33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Retrospectively restated for effect of the reverse split on August 18, 2025.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CHANSON INTERNATIONAL HOLDING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8"/>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187,540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756,285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33,588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(used in)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1,872,139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2,639,094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2,628,985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889,722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823,869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831,820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 of bad debts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78,845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(152,517)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property and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272,350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income from long term debt investment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(1,465,180)</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(723,945)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(534,575)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loan to a third-party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(686,449)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959,859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(766,760)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(62,191)</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(32,001)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(45,821)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1,665,322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2,552,891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 term security deposits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184,296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(58,209)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57,185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prepaid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31,637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(180,281)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1,235,783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265,315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530,195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198,040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665,495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(179,643)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307,169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135,994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(292,138)</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(2,566,126)</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(2,969,001)</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(2,275,056)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2,864,867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3,538,038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(2,953,853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(2,396,274)</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(583,313)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(773,964)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35,562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made for long term debt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(46,126,988)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received from long term debt investment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1,203,810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899,507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of loans to third parties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from loans to third parties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907,704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1,150,104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the software, equipment and product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(1,190,000)</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Refund of prepayment for the product development</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650,000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(45,819,452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1,909,460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(10,463,416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proceeds from initial public offerings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13,560,000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disbursed from initial public offerings proceeds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(1,529,631)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the Equity Security Units, net of issuance costs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6,910,134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ordinary shares, net of issuance costs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30,000,000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5,938,994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417,388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2,225,715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2,685,588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short-term bank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(1,530,421)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(3,338,573)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(424,040)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bank loans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5,036,477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bank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(153,043)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 to) advances received from a related party</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(1,595,404)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524,610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(1,892,423)</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for deferred offering costs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(340,469)</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39,085,131</w:t>
            </w:r>
          </w:p>
        </w:tc>
        <w:tc>
          <w:tcPr>
            <w:tcW w:w="2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b w:val="1"/>
                <w:bCs w:val="1"/>
                <w:color w:val="auto"/>
                <w:w w:val="97"/>
              </w:rPr>
              <w:t>5,350,746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12,059,025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fluctuation on cash and cash equivalents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411,048</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(176,783)</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(75,924)</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900" w:orient="portrait"/>
          <w:cols w:equalWidth="0" w:num="1">
            <w:col w:w="11240"/>
          </w:cols>
          <w:pgMar w:left="320" w:top="900" w:right="339" w:bottom="0" w:gutter="0" w:footer="0" w:header="0"/>
        </w:sectPr>
      </w:pPr>
    </w:p>
    <w:p>
      <w:pPr>
        <w:ind w:right="2620"/>
        <w:spacing w:after="0" w:line="268" w:lineRule="auto"/>
        <w:rPr>
          <w:sz w:val="20"/>
          <w:szCs w:val="20"/>
          <w:color w:val="auto"/>
        </w:rPr>
      </w:pPr>
      <w:r>
        <w:rPr>
          <w:rFonts w:ascii="Times New Roman" w:cs="Times New Roman" w:eastAsia="Times New Roman" w:hAnsi="Times New Roman"/>
          <w:sz w:val="17"/>
          <w:szCs w:val="17"/>
          <w:b w:val="1"/>
          <w:bCs w:val="1"/>
          <w:color w:val="auto"/>
        </w:rPr>
        <w:t>Net (decrease) increase in cash and cash equivalents 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(3,458,406)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10,621,461</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(1,434,168)</w:t>
            </w:r>
          </w:p>
        </w:tc>
      </w:tr>
      <w:tr>
        <w:trPr>
          <w:trHeight w:val="238"/>
        </w:trPr>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12,102,763</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1,481,302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2,915,470</w:t>
            </w:r>
          </w:p>
        </w:tc>
        <w:tc>
          <w:tcPr>
            <w:tcW w:w="60" w:type="dxa"/>
            <w:vAlign w:val="bottom"/>
          </w:tcPr>
          <w:p>
            <w:pPr>
              <w:spacing w:after="0"/>
              <w:rPr>
                <w:sz w:val="20"/>
                <w:szCs w:val="20"/>
                <w:color w:val="auto"/>
              </w:rPr>
            </w:pPr>
          </w:p>
        </w:tc>
      </w:tr>
      <w:tr>
        <w:trPr>
          <w:trHeight w:val="27"/>
        </w:trPr>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8,644,357</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12,102,763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1,481,302</w:t>
            </w:r>
          </w:p>
        </w:tc>
        <w:tc>
          <w:tcPr>
            <w:tcW w:w="60" w:type="dxa"/>
            <w:vAlign w:val="bottom"/>
          </w:tcPr>
          <w:p>
            <w:pPr>
              <w:spacing w:after="0"/>
              <w:rPr>
                <w:sz w:val="21"/>
                <w:szCs w:val="2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900" w:orient="portrait"/>
          <w:cols w:equalWidth="0" w:num="2">
            <w:col w:w="6600" w:space="720"/>
            <w:col w:w="3920"/>
          </w:cols>
          <w:pgMar w:left="320" w:top="900"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29,053</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45,128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92,409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181,157</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141,106</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operating, investing and 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acquired from a related party through settlement of amounts due from the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(non-cash transaction)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962,896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Reduction of right-of-use assets and operating lease obligations due to early termination 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modification of lease agreement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4,208,435</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2,519,354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Right of use assets obtained in exchange for operating lease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3,423,624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40"/>
          </w:cols>
          <w:pgMar w:left="320" w:top="900" w:right="3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Deferred IPO cost offset with additional paid-in capital</w:t>
            </w:r>
          </w:p>
        </w:tc>
        <w:tc>
          <w:tcPr>
            <w:tcW w:w="31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1,095,872</w:t>
            </w:r>
          </w:p>
        </w:tc>
        <w:tc>
          <w:tcPr>
            <w:tcW w:w="0" w:type="dxa"/>
            <w:vAlign w:val="bottom"/>
          </w:tcPr>
          <w:p>
            <w:pPr>
              <w:spacing w:after="0"/>
              <w:rPr>
                <w:sz w:val="1"/>
                <w:szCs w:val="1"/>
                <w:color w:val="auto"/>
              </w:rPr>
            </w:pPr>
          </w:p>
        </w:tc>
      </w:tr>
      <w:tr>
        <w:trPr>
          <w:trHeight w:val="88"/>
        </w:trPr>
        <w:tc>
          <w:tcPr>
            <w:tcW w:w="4780" w:type="dxa"/>
            <w:vAlign w:val="bottom"/>
            <w:tcBorders>
              <w:bottom w:val="single" w:sz="8" w:color="CCEEFF"/>
            </w:tcBorders>
          </w:tcPr>
          <w:p>
            <w:pPr>
              <w:spacing w:after="0"/>
              <w:rPr>
                <w:sz w:val="7"/>
                <w:szCs w:val="7"/>
                <w:color w:val="auto"/>
              </w:rPr>
            </w:pPr>
          </w:p>
        </w:tc>
        <w:tc>
          <w:tcPr>
            <w:tcW w:w="2540" w:type="dxa"/>
            <w:vAlign w:val="bottom"/>
            <w:tcBorders>
              <w:bottom w:val="single" w:sz="8" w:color="CCEEFF"/>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Intangible assets acquired by prepayment</w:t>
            </w:r>
          </w:p>
        </w:tc>
        <w:tc>
          <w:tcPr>
            <w:tcW w:w="25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54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Archives/edgar/data/1825349/000121390025065280/ea0249173-s8_chanson.htm" TargetMode="External"/><Relationship Id="rId14" Type="http://schemas.openxmlformats.org/officeDocument/2006/relationships/hyperlink" Target="http://www.sec.gov/Archives/edgar/data/1825349/000121390025076637/ea0253250-f3_chan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2026-04-21T05:33:39Z</dcterms:created>
  <dcterms:modified xsi:type="dcterms:W3CDTF">2026-04-21T05:33:39Z</dcterms:modified>
</cp:coreProperties>
</file>