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9.jpeg" ContentType="image/jpeg"/>
  <Override PartName="/word/media/image11.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bdr w:val="single" w:sz="16" w:space="1" w:color="000000"/>
        </w:rPr>
      </w:pPr>
      <w:bookmarkStart w:id="0" w:name="ea0286626-20f_chansoninter.htm"/>
      <w:bookmarkStart w:id="1" w:name="ksea028662620f_chansoninter"/>
      <w:bookmarkEnd w:id="0"/>
      <w:bookmarkEnd w:id="1"/>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20-F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REGISTRATION STATEMENT PURSUANT TO SECTION 12(b) OR (g)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ANNUAL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fiscal year ended December 31,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SHELL COMPANY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event requiring this shell company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the transition period from                to</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001-41663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Chanson International Holding</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(Jurisdiction of incorporation or organization)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B9 Xinjiang Chuangbo Zhigu Industrial Park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100 Guangyuan Road, Shuimogou District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Urumqi, Xinjiang, China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+86-0991-2302709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Jihong Cai, Chief Financial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+ 86-0991-2302709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Email: jihong.cai@chansoninternational.com</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 the address of the Company set forth above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Telephone, E-mail and/or Facsimile number and Address of Company Contact Person)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or to be registered pursuant to Section 12(b) of the Act.</w:t>
      </w:r>
    </w:p>
    <w:p>
      <w:pPr>
        <w:pStyle w:val="TextBody"/>
        <w:bidi w:val="0"/>
        <w:spacing w:before="0" w:after="0"/>
        <w:jc w:val="center"/>
        <w:rPr>
          <w:caps w:val="false"/>
          <w:smallCaps w:val="false"/>
        </w:rPr>
      </w:pPr>
      <w:r>
        <w:rPr>
          <w:caps w:val="false"/>
          <w:smallCaps w:val="false"/>
        </w:rPr>
        <w:t> </w:t>
      </w:r>
    </w:p>
    <w:tbl>
      <w:tblPr>
        <w:tblW w:w="7755" w:type="dxa"/>
        <w:jc w:val="left"/>
        <w:tblInd w:w="0" w:type="dxa"/>
        <w:tblLayout w:type="fixed"/>
        <w:tblCellMar>
          <w:top w:w="0" w:type="dxa"/>
          <w:left w:w="0" w:type="dxa"/>
          <w:bottom w:w="28" w:type="dxa"/>
          <w:right w:w="0" w:type="dxa"/>
        </w:tblCellMar>
      </w:tblPr>
      <w:tblGrid>
        <w:gridCol w:w="2165"/>
        <w:gridCol w:w="90"/>
        <w:gridCol w:w="1640"/>
        <w:gridCol w:w="90"/>
        <w:gridCol w:w="3770"/>
      </w:tblGrid>
      <w:tr>
        <w:trPr/>
        <w:tc>
          <w:tcPr>
            <w:tcW w:w="21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90" w:type="dxa"/>
            <w:tcBorders/>
            <w:tcMar>
              <w:bottom w:w="0" w:type="dxa"/>
            </w:tcMar>
            <w:vAlign w:val="center"/>
          </w:tcPr>
          <w:p>
            <w:pPr>
              <w:pStyle w:val="TableContents"/>
              <w:bidi w:val="0"/>
              <w:spacing w:before="0" w:after="283"/>
              <w:jc w:val="center"/>
              <w:rPr/>
            </w:pPr>
            <w:r>
              <w:rPr/>
              <w:t> </w:t>
            </w:r>
          </w:p>
        </w:tc>
        <w:tc>
          <w:tcPr>
            <w:tcW w:w="164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90" w:type="dxa"/>
            <w:tcBorders/>
            <w:tcMar>
              <w:bottom w:w="0" w:type="dxa"/>
            </w:tcMar>
            <w:vAlign w:val="center"/>
          </w:tcPr>
          <w:p>
            <w:pPr>
              <w:pStyle w:val="TableContents"/>
              <w:bidi w:val="0"/>
              <w:spacing w:before="0" w:after="283"/>
              <w:jc w:val="center"/>
              <w:rPr/>
            </w:pPr>
            <w:r>
              <w:rPr/>
              <w:t> </w:t>
            </w:r>
          </w:p>
        </w:tc>
        <w:tc>
          <w:tcPr>
            <w:tcW w:w="377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21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 Ordinary Shares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4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CHSN</w:t>
            </w:r>
          </w:p>
        </w:tc>
        <w:tc>
          <w:tcPr>
            <w:tcW w:w="90" w:type="dxa"/>
            <w:tcBorders/>
            <w:shd w:fill="CCEEFF" w:val="clear"/>
            <w:tcMar>
              <w:bottom w:w="0" w:type="dxa"/>
            </w:tcMar>
            <w:vAlign w:val="center"/>
          </w:tcPr>
          <w:p>
            <w:pPr>
              <w:pStyle w:val="TableContents"/>
              <w:bidi w:val="0"/>
              <w:spacing w:before="0" w:after="283"/>
              <w:jc w:val="left"/>
              <w:rPr/>
            </w:pPr>
            <w:r>
              <w:rPr/>
              <w:t> </w:t>
            </w:r>
          </w:p>
        </w:tc>
        <w:tc>
          <w:tcPr>
            <w:tcW w:w="377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The Nasdaq Stock Market LLC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or to be registered pursuant to Section 12(g) of the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for which there is a reporting obligation pursuant to Section 15(d) of the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the number of outstanding shares of each of the issuer’s classes of capital or common stock as of the close of the period covered by the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aggregate of 38,907,905 Class A ordinary shares, par value $0.08 per share, and 70,875 Class B ordinary shares, par value $0.08 per share, were outstanding as of December 31, 2025. The par value of Class A ordinary shares and Class B ordinary shares was subsequently reduced to US$0.0001 per share, effective on March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a well-known seasoned issuer, as defined in Rule 405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report is an annual or transition report, indicate by check mark if the registrant is not required to file reports 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775" w:type="dxa"/>
        <w:jc w:val="left"/>
        <w:tblInd w:w="0" w:type="dxa"/>
        <w:tblLayout w:type="fixed"/>
        <w:tblCellMar>
          <w:top w:w="0" w:type="dxa"/>
          <w:left w:w="0" w:type="dxa"/>
          <w:bottom w:w="0" w:type="dxa"/>
          <w:right w:w="0" w:type="dxa"/>
        </w:tblCellMar>
      </w:tblPr>
      <w:tblGrid>
        <w:gridCol w:w="1865"/>
        <w:gridCol w:w="260"/>
        <w:gridCol w:w="90"/>
        <w:gridCol w:w="2255"/>
        <w:gridCol w:w="305"/>
      </w:tblGrid>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w:t>
            </w:r>
          </w:p>
        </w:tc>
        <w:tc>
          <w:tcPr>
            <w:tcW w:w="260"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w:t>
            </w:r>
          </w:p>
        </w:tc>
        <w:tc>
          <w:tcPr>
            <w:tcW w:w="305" w:type="dxa"/>
            <w:tcBorders/>
            <w:vAlign w:val="center"/>
          </w:tcPr>
          <w:p>
            <w:pPr>
              <w:pStyle w:val="TableContents"/>
              <w:bidi w:val="0"/>
              <w:spacing w:before="0" w:after="283"/>
              <w:jc w:val="left"/>
              <w:rPr/>
            </w:pPr>
            <w:r>
              <w:rPr/>
              <w:t>☐</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w:t>
            </w:r>
          </w:p>
        </w:tc>
        <w:tc>
          <w:tcPr>
            <w:tcW w:w="260"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w:t>
            </w:r>
          </w:p>
        </w:tc>
        <w:tc>
          <w:tcPr>
            <w:tcW w:w="30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which basis of accounting the registrant has used to prepare the financial statements included in this filing:</w:t>
      </w:r>
    </w:p>
    <w:p>
      <w:pPr>
        <w:pStyle w:val="TextBody"/>
        <w:bidi w:val="0"/>
        <w:spacing w:before="0" w:after="0"/>
        <w:ind w:left="0" w:right="0" w:hanging="0"/>
        <w:jc w:val="left"/>
        <w:rPr>
          <w:caps w:val="false"/>
          <w:smallCaps w:val="false"/>
        </w:rPr>
      </w:pPr>
      <w:r>
        <w:rPr>
          <w:caps w:val="false"/>
          <w:smallCaps w:val="false"/>
        </w:rPr>
        <w:t>  </w:t>
      </w:r>
    </w:p>
    <w:tbl>
      <w:tblPr>
        <w:tblW w:w="6885" w:type="dxa"/>
        <w:jc w:val="left"/>
        <w:tblInd w:w="0" w:type="dxa"/>
        <w:tblLayout w:type="fixed"/>
        <w:tblCellMar>
          <w:top w:w="0" w:type="dxa"/>
          <w:left w:w="0" w:type="dxa"/>
          <w:bottom w:w="0" w:type="dxa"/>
          <w:right w:w="0" w:type="dxa"/>
        </w:tblCellMar>
      </w:tblPr>
      <w:tblGrid>
        <w:gridCol w:w="1175"/>
        <w:gridCol w:w="4940"/>
        <w:gridCol w:w="770"/>
      </w:tblGrid>
      <w:tr>
        <w:trPr/>
        <w:tc>
          <w:tcPr>
            <w:tcW w:w="1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 GAAP ☒</w:t>
            </w:r>
          </w:p>
        </w:tc>
        <w:tc>
          <w:tcPr>
            <w:tcW w:w="494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Financial Reporting Standards as issued by the</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Accounting Standards Board ☐</w:t>
            </w:r>
          </w:p>
        </w:tc>
        <w:tc>
          <w:tcPr>
            <w:tcW w:w="77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Other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“Other” has been checked in response to the previous question, indicate by check mark which financial statement item the registrant has elected to follow. Item 17 ☐ Item 18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is an annual report, indicate by check mark whether the registrant is a shell company (as defined in Rule 12b-2 of the Exchange Act). Yes ☐ No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9765" w:type="dxa"/>
        <w:jc w:val="left"/>
        <w:tblInd w:w="0" w:type="dxa"/>
        <w:tblLayout w:type="fixed"/>
        <w:tblCellMar>
          <w:top w:w="0" w:type="dxa"/>
          <w:left w:w="0" w:type="dxa"/>
          <w:bottom w:w="0" w:type="dxa"/>
          <w:right w:w="0" w:type="dxa"/>
        </w:tblCellMar>
      </w:tblPr>
      <w:tblGrid>
        <w:gridCol w:w="875"/>
        <w:gridCol w:w="8435"/>
        <w:gridCol w:w="455"/>
      </w:tblGrid>
      <w:tr>
        <w:trPr/>
        <w:tc>
          <w:tcPr>
            <w:tcW w:w="9310" w:type="dxa"/>
            <w:gridSpan w:val="2"/>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sz w:val="20"/>
                </w:rPr>
                <w:t>INTRODUCTION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iii</w:t>
            </w:r>
          </w:p>
        </w:tc>
      </w:tr>
      <w:tr>
        <w:trPr/>
        <w:tc>
          <w:tcPr>
            <w:tcW w:w="9310" w:type="dxa"/>
            <w:gridSpan w:val="2"/>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 </w:t>
            </w:r>
          </w:p>
        </w:tc>
      </w:tr>
      <w:tr>
        <w:trPr/>
        <w:tc>
          <w:tcPr>
            <w:tcW w:w="9310" w:type="dxa"/>
            <w:gridSpan w:val="2"/>
            <w:tcBorders/>
            <w:shd w:fill="CCEEFF" w:val="clear"/>
            <w:vAlign w:val="center"/>
          </w:tcPr>
          <w:p>
            <w:pPr>
              <w:pStyle w:val="TableContents"/>
              <w:bidi w:val="0"/>
              <w:spacing w:before="0" w:after="283"/>
              <w:jc w:val="left"/>
              <w:rPr/>
            </w:pPr>
            <w:hyperlink w:anchor="a_002">
              <w:r>
                <w:rPr>
                  <w:rStyle w:val="InternetLink"/>
                  <w:rFonts w:ascii="Times New Roman;Times;Serif" w:hAnsi="Times New Roman;Times;Serif"/>
                  <w:sz w:val="20"/>
                </w:rPr>
                <w:t>FORWARD-LOOKING INFORMATION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iv</w:t>
            </w:r>
          </w:p>
        </w:tc>
      </w:tr>
      <w:tr>
        <w:trPr/>
        <w:tc>
          <w:tcPr>
            <w:tcW w:w="875"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 </w:t>
            </w:r>
          </w:p>
        </w:tc>
      </w:tr>
      <w:tr>
        <w:trPr/>
        <w:tc>
          <w:tcPr>
            <w:tcW w:w="9310" w:type="dxa"/>
            <w:gridSpan w:val="2"/>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PART I</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w:t>
            </w:r>
          </w:p>
        </w:tc>
      </w:tr>
      <w:tr>
        <w:trPr/>
        <w:tc>
          <w:tcPr>
            <w:tcW w:w="875"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 </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w:t>
            </w:r>
          </w:p>
        </w:tc>
        <w:tc>
          <w:tcPr>
            <w:tcW w:w="8435" w:type="dxa"/>
            <w:tcBorders/>
            <w:shd w:fill="CCEEFF" w:val="clear"/>
            <w:vAlign w:val="center"/>
          </w:tcPr>
          <w:p>
            <w:pPr>
              <w:pStyle w:val="TableContents"/>
              <w:bidi w:val="0"/>
              <w:spacing w:before="0" w:after="283"/>
              <w:jc w:val="left"/>
              <w:rPr/>
            </w:pPr>
            <w:hyperlink w:anchor="a_004">
              <w:r>
                <w:rPr>
                  <w:rStyle w:val="InternetLink"/>
                  <w:rFonts w:ascii="Times New Roman;Times;Serif" w:hAnsi="Times New Roman;Times;Serif"/>
                  <w:sz w:val="20"/>
                </w:rPr>
                <w:t>IDENTITY OF DIRECTORS, SENIOR MANAGEMENT AND ADVISERS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w:t>
            </w:r>
          </w:p>
        </w:tc>
      </w:tr>
      <w:tr>
        <w:trPr/>
        <w:tc>
          <w:tcPr>
            <w:tcW w:w="875"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 </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2.</w:t>
            </w:r>
          </w:p>
        </w:tc>
        <w:tc>
          <w:tcPr>
            <w:tcW w:w="843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OFFER STATISTICS AND EXPECTED TIMETABLE</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w:t>
            </w:r>
          </w:p>
        </w:tc>
      </w:tr>
      <w:tr>
        <w:trPr/>
        <w:tc>
          <w:tcPr>
            <w:tcW w:w="875"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 </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3.</w:t>
            </w:r>
          </w:p>
        </w:tc>
        <w:tc>
          <w:tcPr>
            <w:tcW w:w="8435" w:type="dxa"/>
            <w:tcBorders/>
            <w:shd w:fill="CCEEFF" w:val="clear"/>
            <w:vAlign w:val="center"/>
          </w:tcPr>
          <w:p>
            <w:pPr>
              <w:pStyle w:val="TableContents"/>
              <w:bidi w:val="0"/>
              <w:spacing w:before="0" w:after="283"/>
              <w:jc w:val="left"/>
              <w:rPr/>
            </w:pPr>
            <w:hyperlink w:anchor="a_006">
              <w:r>
                <w:rPr>
                  <w:rStyle w:val="InternetLink"/>
                  <w:rFonts w:ascii="Times New Roman;Times;Serif" w:hAnsi="Times New Roman;Times;Serif"/>
                  <w:sz w:val="20"/>
                </w:rPr>
                <w:t>KEY INFORMATION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w:t>
            </w:r>
          </w:p>
        </w:tc>
      </w:tr>
      <w:tr>
        <w:trPr/>
        <w:tc>
          <w:tcPr>
            <w:tcW w:w="875"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 </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4.</w:t>
            </w:r>
          </w:p>
        </w:tc>
        <w:tc>
          <w:tcPr>
            <w:tcW w:w="8435"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INFORMATION ON THE COMPANY</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53</w:t>
            </w:r>
          </w:p>
        </w:tc>
      </w:tr>
      <w:tr>
        <w:trPr/>
        <w:tc>
          <w:tcPr>
            <w:tcW w:w="875"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 </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4A.</w:t>
            </w:r>
          </w:p>
        </w:tc>
        <w:tc>
          <w:tcPr>
            <w:tcW w:w="8435" w:type="dxa"/>
            <w:tcBorders/>
            <w:shd w:fill="CCEEFF" w:val="clear"/>
            <w:vAlign w:val="center"/>
          </w:tcPr>
          <w:p>
            <w:pPr>
              <w:pStyle w:val="TableContents"/>
              <w:bidi w:val="0"/>
              <w:spacing w:before="0" w:after="283"/>
              <w:jc w:val="left"/>
              <w:rPr/>
            </w:pPr>
            <w:hyperlink w:anchor="a_008">
              <w:r>
                <w:rPr>
                  <w:rStyle w:val="InternetLink"/>
                  <w:rFonts w:ascii="Times New Roman;Times;Serif" w:hAnsi="Times New Roman;Times;Serif"/>
                  <w:sz w:val="20"/>
                </w:rPr>
                <w:t>UNRESOLVED STAFF COMMENTS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90</w:t>
            </w:r>
          </w:p>
        </w:tc>
      </w:tr>
      <w:tr>
        <w:trPr/>
        <w:tc>
          <w:tcPr>
            <w:tcW w:w="875"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 </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5.</w:t>
            </w:r>
          </w:p>
        </w:tc>
        <w:tc>
          <w:tcPr>
            <w:tcW w:w="8435"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OPERATING AND FINANCIAL REVIEW AND PROSPECTS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90</w:t>
            </w:r>
          </w:p>
        </w:tc>
      </w:tr>
      <w:tr>
        <w:trPr/>
        <w:tc>
          <w:tcPr>
            <w:tcW w:w="875"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 </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6.</w:t>
            </w:r>
          </w:p>
        </w:tc>
        <w:tc>
          <w:tcPr>
            <w:tcW w:w="8435" w:type="dxa"/>
            <w:tcBorders/>
            <w:shd w:fill="CCEEFF" w:val="clear"/>
            <w:vAlign w:val="center"/>
          </w:tcPr>
          <w:p>
            <w:pPr>
              <w:pStyle w:val="TableContents"/>
              <w:bidi w:val="0"/>
              <w:spacing w:before="0" w:after="283"/>
              <w:jc w:val="left"/>
              <w:rPr/>
            </w:pPr>
            <w:hyperlink w:anchor="a_010">
              <w:r>
                <w:rPr>
                  <w:rStyle w:val="InternetLink"/>
                  <w:rFonts w:ascii="Times New Roman;Times;Serif" w:hAnsi="Times New Roman;Times;Serif"/>
                  <w:sz w:val="20"/>
                </w:rPr>
                <w:t>DIRECTORS, SENIOR MANAGEMENT AND EMPLOYEES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115</w:t>
            </w:r>
          </w:p>
        </w:tc>
      </w:tr>
      <w:tr>
        <w:trPr/>
        <w:tc>
          <w:tcPr>
            <w:tcW w:w="875"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 </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7.</w:t>
            </w:r>
          </w:p>
        </w:tc>
        <w:tc>
          <w:tcPr>
            <w:tcW w:w="8435"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MAJOR SHAREHOLDERS AND RELATED PARTY TRANSACTIONS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121</w:t>
            </w:r>
          </w:p>
        </w:tc>
      </w:tr>
      <w:tr>
        <w:trPr/>
        <w:tc>
          <w:tcPr>
            <w:tcW w:w="875"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 </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8.</w:t>
            </w:r>
          </w:p>
        </w:tc>
        <w:tc>
          <w:tcPr>
            <w:tcW w:w="8435" w:type="dxa"/>
            <w:tcBorders/>
            <w:shd w:fill="CCEEFF" w:val="clear"/>
            <w:vAlign w:val="center"/>
          </w:tcPr>
          <w:p>
            <w:pPr>
              <w:pStyle w:val="TableContents"/>
              <w:bidi w:val="0"/>
              <w:spacing w:before="0" w:after="283"/>
              <w:jc w:val="left"/>
              <w:rPr/>
            </w:pPr>
            <w:hyperlink w:anchor="a_012">
              <w:r>
                <w:rPr>
                  <w:rStyle w:val="InternetLink"/>
                  <w:rFonts w:ascii="Times New Roman;Times;Serif" w:hAnsi="Times New Roman;Times;Serif"/>
                  <w:sz w:val="20"/>
                </w:rPr>
                <w:t>FINANCIAL INFORMATION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123</w:t>
            </w:r>
          </w:p>
        </w:tc>
      </w:tr>
      <w:tr>
        <w:trPr/>
        <w:tc>
          <w:tcPr>
            <w:tcW w:w="875"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 </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9.</w:t>
            </w:r>
          </w:p>
        </w:tc>
        <w:tc>
          <w:tcPr>
            <w:tcW w:w="8435"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THE OFFER AND LISTING</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123</w:t>
            </w:r>
          </w:p>
        </w:tc>
      </w:tr>
      <w:tr>
        <w:trPr/>
        <w:tc>
          <w:tcPr>
            <w:tcW w:w="875"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 </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10.</w:t>
            </w:r>
          </w:p>
        </w:tc>
        <w:tc>
          <w:tcPr>
            <w:tcW w:w="8435" w:type="dxa"/>
            <w:tcBorders/>
            <w:shd w:fill="CCEEFF" w:val="clear"/>
            <w:vAlign w:val="center"/>
          </w:tcPr>
          <w:p>
            <w:pPr>
              <w:pStyle w:val="TableContents"/>
              <w:bidi w:val="0"/>
              <w:spacing w:before="0" w:after="283"/>
              <w:jc w:val="left"/>
              <w:rPr/>
            </w:pPr>
            <w:hyperlink w:anchor="a_014">
              <w:r>
                <w:rPr>
                  <w:rStyle w:val="InternetLink"/>
                  <w:rFonts w:ascii="Times New Roman;Times;Serif" w:hAnsi="Times New Roman;Times;Serif"/>
                  <w:sz w:val="20"/>
                </w:rPr>
                <w:t>ADDITIONAL INFORMATION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124</w:t>
            </w:r>
          </w:p>
        </w:tc>
      </w:tr>
      <w:tr>
        <w:trPr/>
        <w:tc>
          <w:tcPr>
            <w:tcW w:w="875"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 </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11.</w:t>
            </w:r>
          </w:p>
        </w:tc>
        <w:tc>
          <w:tcPr>
            <w:tcW w:w="8435"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sz w:val="20"/>
                </w:rPr>
                <w:t>QUANTITATIVE AND QUALITATIVE DISCLOSURES ABOUT MARKET RISK</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141</w:t>
            </w:r>
          </w:p>
        </w:tc>
      </w:tr>
      <w:tr>
        <w:trPr/>
        <w:tc>
          <w:tcPr>
            <w:tcW w:w="875"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 </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12.</w:t>
            </w:r>
          </w:p>
        </w:tc>
        <w:tc>
          <w:tcPr>
            <w:tcW w:w="8435" w:type="dxa"/>
            <w:tcBorders/>
            <w:shd w:fill="CCEEFF" w:val="clear"/>
            <w:vAlign w:val="center"/>
          </w:tcPr>
          <w:p>
            <w:pPr>
              <w:pStyle w:val="TableContents"/>
              <w:bidi w:val="0"/>
              <w:spacing w:before="0" w:after="283"/>
              <w:jc w:val="left"/>
              <w:rPr/>
            </w:pPr>
            <w:hyperlink w:anchor="a_016">
              <w:r>
                <w:rPr>
                  <w:rStyle w:val="InternetLink"/>
                  <w:rFonts w:ascii="Times New Roman;Times;Serif" w:hAnsi="Times New Roman;Times;Serif"/>
                  <w:sz w:val="20"/>
                </w:rPr>
                <w:t>DESCRIPTION OF SECURITIES OTHER THAN EQUITY SECURITIES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143</w:t>
            </w:r>
          </w:p>
        </w:tc>
      </w:tr>
      <w:tr>
        <w:trPr/>
        <w:tc>
          <w:tcPr>
            <w:tcW w:w="9310" w:type="dxa"/>
            <w:gridSpan w:val="2"/>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 </w:t>
            </w:r>
          </w:p>
        </w:tc>
      </w:tr>
      <w:tr>
        <w:trPr/>
        <w:tc>
          <w:tcPr>
            <w:tcW w:w="9310" w:type="dxa"/>
            <w:gridSpan w:val="2"/>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sz w:val="20"/>
                </w:rPr>
                <w:t>PART II</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144</w:t>
            </w:r>
          </w:p>
        </w:tc>
      </w:tr>
      <w:tr>
        <w:trPr/>
        <w:tc>
          <w:tcPr>
            <w:tcW w:w="875"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 </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13.</w:t>
            </w:r>
          </w:p>
        </w:tc>
        <w:tc>
          <w:tcPr>
            <w:tcW w:w="8435" w:type="dxa"/>
            <w:tcBorders/>
            <w:shd w:fill="CCEEFF" w:val="clear"/>
            <w:vAlign w:val="center"/>
          </w:tcPr>
          <w:p>
            <w:pPr>
              <w:pStyle w:val="TableContents"/>
              <w:bidi w:val="0"/>
              <w:spacing w:before="0" w:after="283"/>
              <w:jc w:val="left"/>
              <w:rPr/>
            </w:pPr>
            <w:hyperlink w:anchor="a_018">
              <w:r>
                <w:rPr>
                  <w:rStyle w:val="InternetLink"/>
                  <w:rFonts w:ascii="Times New Roman;Times;Serif" w:hAnsi="Times New Roman;Times;Serif"/>
                  <w:sz w:val="20"/>
                </w:rPr>
                <w:t>DEFAULTS, DIVIDEND ARREARAGES AND DELINQUENCIES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144</w:t>
            </w:r>
          </w:p>
        </w:tc>
      </w:tr>
      <w:tr>
        <w:trPr/>
        <w:tc>
          <w:tcPr>
            <w:tcW w:w="875"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 </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14.</w:t>
            </w:r>
          </w:p>
        </w:tc>
        <w:tc>
          <w:tcPr>
            <w:tcW w:w="8435" w:type="dxa"/>
            <w:tcBorders/>
            <w:shd w:fill="CCEEFF" w:val="clear"/>
            <w:vAlign w:val="center"/>
          </w:tcPr>
          <w:p>
            <w:pPr>
              <w:pStyle w:val="TableContents"/>
              <w:bidi w:val="0"/>
              <w:spacing w:before="0" w:after="283"/>
              <w:jc w:val="left"/>
              <w:rPr/>
            </w:pPr>
            <w:hyperlink w:anchor="a_019">
              <w:r>
                <w:rPr>
                  <w:rStyle w:val="InternetLink"/>
                  <w:rFonts w:ascii="Times New Roman;Times;Serif" w:hAnsi="Times New Roman;Times;Serif"/>
                  <w:sz w:val="20"/>
                </w:rPr>
                <w:t>MATERIAL MODIFICATIONS TO THE RIGHTS OF SECURITY HOLDERS AND USE OF PROCEEDS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144</w:t>
            </w:r>
          </w:p>
        </w:tc>
      </w:tr>
      <w:tr>
        <w:trPr/>
        <w:tc>
          <w:tcPr>
            <w:tcW w:w="875"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 </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15.</w:t>
            </w:r>
          </w:p>
        </w:tc>
        <w:tc>
          <w:tcPr>
            <w:tcW w:w="8435" w:type="dxa"/>
            <w:tcBorders/>
            <w:shd w:fill="CCEEFF" w:val="clear"/>
            <w:vAlign w:val="center"/>
          </w:tcPr>
          <w:p>
            <w:pPr>
              <w:pStyle w:val="TableContents"/>
              <w:bidi w:val="0"/>
              <w:spacing w:before="0" w:after="283"/>
              <w:jc w:val="left"/>
              <w:rPr/>
            </w:pPr>
            <w:hyperlink w:anchor="a_020">
              <w:r>
                <w:rPr>
                  <w:rStyle w:val="InternetLink"/>
                  <w:rFonts w:ascii="Times New Roman;Times;Serif" w:hAnsi="Times New Roman;Times;Serif"/>
                  <w:sz w:val="20"/>
                </w:rPr>
                <w:t>CONTROLS AND PROCEDURES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145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090" w:type="dxa"/>
        <w:jc w:val="left"/>
        <w:tblInd w:w="0" w:type="dxa"/>
        <w:tblLayout w:type="fixed"/>
        <w:tblCellMar>
          <w:top w:w="0" w:type="dxa"/>
          <w:left w:w="0" w:type="dxa"/>
          <w:bottom w:w="0" w:type="dxa"/>
          <w:right w:w="0" w:type="dxa"/>
        </w:tblCellMar>
      </w:tblPr>
      <w:tblGrid>
        <w:gridCol w:w="980"/>
        <w:gridCol w:w="7655"/>
        <w:gridCol w:w="455"/>
      </w:tblGrid>
      <w:tr>
        <w:trPr/>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16.</w:t>
            </w:r>
          </w:p>
        </w:tc>
        <w:tc>
          <w:tcPr>
            <w:tcW w:w="7655" w:type="dxa"/>
            <w:tcBorders/>
            <w:shd w:fill="CCEEFF" w:val="clear"/>
            <w:vAlign w:val="center"/>
          </w:tcPr>
          <w:p>
            <w:pPr>
              <w:pStyle w:val="TableContents"/>
              <w:bidi w:val="0"/>
              <w:spacing w:before="0" w:after="283"/>
              <w:jc w:val="left"/>
              <w:rPr/>
            </w:pPr>
            <w:hyperlink w:anchor="a_021">
              <w:r>
                <w:rPr>
                  <w:rStyle w:val="InternetLink"/>
                  <w:rFonts w:ascii="Times New Roman;Times;Serif" w:hAnsi="Times New Roman;Times;Serif"/>
                  <w:sz w:val="20"/>
                </w:rPr>
                <w:t>[RESERVED]</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146</w:t>
            </w:r>
          </w:p>
        </w:tc>
      </w:tr>
      <w:tr>
        <w:trPr/>
        <w:tc>
          <w:tcPr>
            <w:tcW w:w="980" w:type="dxa"/>
            <w:tcBorders/>
            <w:vAlign w:val="center"/>
          </w:tcPr>
          <w:p>
            <w:pPr>
              <w:pStyle w:val="TableContents"/>
              <w:bidi w:val="0"/>
              <w:spacing w:before="0" w:after="283"/>
              <w:jc w:val="left"/>
              <w:rPr/>
            </w:pPr>
            <w:r>
              <w:rPr/>
              <w:t> </w:t>
            </w:r>
          </w:p>
        </w:tc>
        <w:tc>
          <w:tcPr>
            <w:tcW w:w="765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16A.</w:t>
            </w:r>
          </w:p>
        </w:tc>
        <w:tc>
          <w:tcPr>
            <w:tcW w:w="7655" w:type="dxa"/>
            <w:tcBorders/>
            <w:shd w:fill="CCEEFF" w:val="clear"/>
            <w:vAlign w:val="center"/>
          </w:tcPr>
          <w:p>
            <w:pPr>
              <w:pStyle w:val="TableContents"/>
              <w:bidi w:val="0"/>
              <w:spacing w:before="0" w:after="283"/>
              <w:jc w:val="left"/>
              <w:rPr/>
            </w:pPr>
            <w:hyperlink w:anchor="a_022">
              <w:r>
                <w:rPr>
                  <w:rStyle w:val="InternetLink"/>
                  <w:rFonts w:ascii="Times New Roman;Times;Serif" w:hAnsi="Times New Roman;Times;Serif"/>
                  <w:sz w:val="20"/>
                </w:rPr>
                <w:t>AUDIT COMMITTEE FINANCIAL EXPERT</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146</w:t>
            </w:r>
          </w:p>
        </w:tc>
      </w:tr>
      <w:tr>
        <w:trPr/>
        <w:tc>
          <w:tcPr>
            <w:tcW w:w="980" w:type="dxa"/>
            <w:tcBorders/>
            <w:vAlign w:val="center"/>
          </w:tcPr>
          <w:p>
            <w:pPr>
              <w:pStyle w:val="TableContents"/>
              <w:bidi w:val="0"/>
              <w:spacing w:before="0" w:after="283"/>
              <w:jc w:val="left"/>
              <w:rPr/>
            </w:pPr>
            <w:r>
              <w:rPr/>
              <w:t> </w:t>
            </w:r>
          </w:p>
        </w:tc>
        <w:tc>
          <w:tcPr>
            <w:tcW w:w="765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16B.</w:t>
            </w:r>
          </w:p>
        </w:tc>
        <w:tc>
          <w:tcPr>
            <w:tcW w:w="7655" w:type="dxa"/>
            <w:tcBorders/>
            <w:shd w:fill="CCEEFF" w:val="clear"/>
            <w:vAlign w:val="center"/>
          </w:tcPr>
          <w:p>
            <w:pPr>
              <w:pStyle w:val="TableContents"/>
              <w:bidi w:val="0"/>
              <w:spacing w:before="0" w:after="283"/>
              <w:jc w:val="left"/>
              <w:rPr/>
            </w:pPr>
            <w:hyperlink w:anchor="a_023">
              <w:r>
                <w:rPr>
                  <w:rStyle w:val="InternetLink"/>
                  <w:rFonts w:ascii="Times New Roman;Times;Serif" w:hAnsi="Times New Roman;Times;Serif"/>
                  <w:sz w:val="20"/>
                </w:rPr>
                <w:t>CODE OF ETHICS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146</w:t>
            </w:r>
          </w:p>
        </w:tc>
      </w:tr>
      <w:tr>
        <w:trPr/>
        <w:tc>
          <w:tcPr>
            <w:tcW w:w="980" w:type="dxa"/>
            <w:tcBorders/>
            <w:vAlign w:val="center"/>
          </w:tcPr>
          <w:p>
            <w:pPr>
              <w:pStyle w:val="TableContents"/>
              <w:bidi w:val="0"/>
              <w:spacing w:before="0" w:after="283"/>
              <w:jc w:val="left"/>
              <w:rPr/>
            </w:pPr>
            <w:r>
              <w:rPr/>
              <w:t> </w:t>
            </w:r>
          </w:p>
        </w:tc>
        <w:tc>
          <w:tcPr>
            <w:tcW w:w="765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16C.</w:t>
            </w:r>
          </w:p>
        </w:tc>
        <w:tc>
          <w:tcPr>
            <w:tcW w:w="7655" w:type="dxa"/>
            <w:tcBorders/>
            <w:shd w:fill="CCEEFF" w:val="clear"/>
            <w:vAlign w:val="center"/>
          </w:tcPr>
          <w:p>
            <w:pPr>
              <w:pStyle w:val="TableContents"/>
              <w:bidi w:val="0"/>
              <w:spacing w:before="0" w:after="283"/>
              <w:jc w:val="left"/>
              <w:rPr/>
            </w:pPr>
            <w:hyperlink w:anchor="a_024">
              <w:r>
                <w:rPr>
                  <w:rStyle w:val="InternetLink"/>
                  <w:rFonts w:ascii="Times New Roman;Times;Serif" w:hAnsi="Times New Roman;Times;Serif"/>
                  <w:sz w:val="20"/>
                </w:rPr>
                <w:t>PRINCIPAL ACCOUNTANT FEES AND SERVICES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146</w:t>
            </w:r>
          </w:p>
        </w:tc>
      </w:tr>
      <w:tr>
        <w:trPr/>
        <w:tc>
          <w:tcPr>
            <w:tcW w:w="980" w:type="dxa"/>
            <w:tcBorders/>
            <w:vAlign w:val="center"/>
          </w:tcPr>
          <w:p>
            <w:pPr>
              <w:pStyle w:val="TableContents"/>
              <w:bidi w:val="0"/>
              <w:spacing w:before="0" w:after="283"/>
              <w:jc w:val="left"/>
              <w:rPr/>
            </w:pPr>
            <w:r>
              <w:rPr/>
              <w:t> </w:t>
            </w:r>
          </w:p>
        </w:tc>
        <w:tc>
          <w:tcPr>
            <w:tcW w:w="765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4"/>
                <w:szCs w:val="4"/>
              </w:rPr>
            </w:pPr>
            <w:r>
              <w:rPr>
                <w:sz w:val="4"/>
                <w:szCs w:val="4"/>
              </w:rPr>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16D.</w:t>
            </w:r>
          </w:p>
        </w:tc>
        <w:tc>
          <w:tcPr>
            <w:tcW w:w="7655" w:type="dxa"/>
            <w:tcBorders/>
            <w:shd w:fill="CCEEFF" w:val="clear"/>
            <w:vAlign w:val="center"/>
          </w:tcPr>
          <w:p>
            <w:pPr>
              <w:pStyle w:val="TableContents"/>
              <w:bidi w:val="0"/>
              <w:spacing w:before="0" w:after="283"/>
              <w:jc w:val="left"/>
              <w:rPr/>
            </w:pPr>
            <w:hyperlink w:anchor="a_025">
              <w:r>
                <w:rPr>
                  <w:rStyle w:val="InternetLink"/>
                  <w:rFonts w:ascii="Times New Roman;Times;Serif" w:hAnsi="Times New Roman;Times;Serif"/>
                  <w:sz w:val="20"/>
                </w:rPr>
                <w:t>EXEMPTIONS FROM THE LISTING STANDARDS FOR AUDIT COMMITTEES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146</w:t>
            </w:r>
          </w:p>
        </w:tc>
      </w:tr>
      <w:tr>
        <w:trPr/>
        <w:tc>
          <w:tcPr>
            <w:tcW w:w="980" w:type="dxa"/>
            <w:tcBorders/>
            <w:vAlign w:val="center"/>
          </w:tcPr>
          <w:p>
            <w:pPr>
              <w:pStyle w:val="TableContents"/>
              <w:bidi w:val="0"/>
              <w:spacing w:before="0" w:after="283"/>
              <w:jc w:val="left"/>
              <w:rPr/>
            </w:pPr>
            <w:r>
              <w:rPr/>
              <w:t> </w:t>
            </w:r>
          </w:p>
        </w:tc>
        <w:tc>
          <w:tcPr>
            <w:tcW w:w="765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16E.</w:t>
            </w:r>
          </w:p>
        </w:tc>
        <w:tc>
          <w:tcPr>
            <w:tcW w:w="7655" w:type="dxa"/>
            <w:tcBorders/>
            <w:shd w:fill="CCEEFF" w:val="clear"/>
            <w:vAlign w:val="center"/>
          </w:tcPr>
          <w:p>
            <w:pPr>
              <w:pStyle w:val="TableContents"/>
              <w:bidi w:val="0"/>
              <w:spacing w:before="0" w:after="283"/>
              <w:jc w:val="left"/>
              <w:rPr/>
            </w:pPr>
            <w:hyperlink w:anchor="a_026">
              <w:r>
                <w:rPr>
                  <w:rStyle w:val="InternetLink"/>
                  <w:rFonts w:ascii="Times New Roman;Times;Serif" w:hAnsi="Times New Roman;Times;Serif"/>
                  <w:sz w:val="20"/>
                </w:rPr>
                <w:t>PURCHASES OF EQUITY SECURITIES BY THE ISSUER AND AFFILIATED PURCHASERS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146</w:t>
            </w:r>
          </w:p>
        </w:tc>
      </w:tr>
      <w:tr>
        <w:trPr/>
        <w:tc>
          <w:tcPr>
            <w:tcW w:w="980" w:type="dxa"/>
            <w:tcBorders/>
            <w:vAlign w:val="center"/>
          </w:tcPr>
          <w:p>
            <w:pPr>
              <w:pStyle w:val="TableContents"/>
              <w:bidi w:val="0"/>
              <w:spacing w:before="0" w:after="283"/>
              <w:jc w:val="left"/>
              <w:rPr/>
            </w:pPr>
            <w:r>
              <w:rPr/>
              <w:t> </w:t>
            </w:r>
          </w:p>
        </w:tc>
        <w:tc>
          <w:tcPr>
            <w:tcW w:w="765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16F.</w:t>
            </w:r>
          </w:p>
        </w:tc>
        <w:tc>
          <w:tcPr>
            <w:tcW w:w="7655" w:type="dxa"/>
            <w:tcBorders/>
            <w:shd w:fill="CCEEFF" w:val="clear"/>
            <w:vAlign w:val="center"/>
          </w:tcPr>
          <w:p>
            <w:pPr>
              <w:pStyle w:val="TableContents"/>
              <w:bidi w:val="0"/>
              <w:spacing w:before="0" w:after="283"/>
              <w:jc w:val="left"/>
              <w:rPr/>
            </w:pPr>
            <w:hyperlink w:anchor="a_027">
              <w:r>
                <w:rPr>
                  <w:rStyle w:val="InternetLink"/>
                  <w:rFonts w:ascii="Times New Roman;Times;Serif" w:hAnsi="Times New Roman;Times;Serif"/>
                  <w:sz w:val="20"/>
                </w:rPr>
                <w:t>CHANGE IN REGISTRANT’S CERTIFYING ACCOUNTANT</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147</w:t>
            </w:r>
          </w:p>
        </w:tc>
      </w:tr>
      <w:tr>
        <w:trPr/>
        <w:tc>
          <w:tcPr>
            <w:tcW w:w="980" w:type="dxa"/>
            <w:tcBorders/>
            <w:vAlign w:val="center"/>
          </w:tcPr>
          <w:p>
            <w:pPr>
              <w:pStyle w:val="TableContents"/>
              <w:bidi w:val="0"/>
              <w:spacing w:before="0" w:after="283"/>
              <w:jc w:val="left"/>
              <w:rPr/>
            </w:pPr>
            <w:r>
              <w:rPr/>
              <w:t> </w:t>
            </w:r>
          </w:p>
        </w:tc>
        <w:tc>
          <w:tcPr>
            <w:tcW w:w="765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16G.</w:t>
            </w:r>
          </w:p>
        </w:tc>
        <w:tc>
          <w:tcPr>
            <w:tcW w:w="7655" w:type="dxa"/>
            <w:tcBorders/>
            <w:shd w:fill="CCEEFF" w:val="clear"/>
            <w:vAlign w:val="center"/>
          </w:tcPr>
          <w:p>
            <w:pPr>
              <w:pStyle w:val="TableContents"/>
              <w:bidi w:val="0"/>
              <w:spacing w:before="0" w:after="283"/>
              <w:jc w:val="left"/>
              <w:rPr/>
            </w:pPr>
            <w:hyperlink w:anchor="a_028">
              <w:r>
                <w:rPr>
                  <w:rStyle w:val="InternetLink"/>
                  <w:rFonts w:ascii="Times New Roman;Times;Serif" w:hAnsi="Times New Roman;Times;Serif"/>
                  <w:sz w:val="20"/>
                </w:rPr>
                <w:t>CORPORATE GOVERNANCE</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147</w:t>
            </w:r>
          </w:p>
        </w:tc>
      </w:tr>
      <w:tr>
        <w:trPr/>
        <w:tc>
          <w:tcPr>
            <w:tcW w:w="980" w:type="dxa"/>
            <w:tcBorders/>
            <w:vAlign w:val="center"/>
          </w:tcPr>
          <w:p>
            <w:pPr>
              <w:pStyle w:val="TableContents"/>
              <w:bidi w:val="0"/>
              <w:spacing w:before="0" w:after="283"/>
              <w:jc w:val="left"/>
              <w:rPr/>
            </w:pPr>
            <w:r>
              <w:rPr/>
              <w:t> </w:t>
            </w:r>
          </w:p>
        </w:tc>
        <w:tc>
          <w:tcPr>
            <w:tcW w:w="765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16H.</w:t>
            </w:r>
          </w:p>
        </w:tc>
        <w:tc>
          <w:tcPr>
            <w:tcW w:w="7655" w:type="dxa"/>
            <w:tcBorders/>
            <w:shd w:fill="CCEEFF" w:val="clear"/>
            <w:vAlign w:val="center"/>
          </w:tcPr>
          <w:p>
            <w:pPr>
              <w:pStyle w:val="TableContents"/>
              <w:bidi w:val="0"/>
              <w:spacing w:before="0" w:after="283"/>
              <w:jc w:val="left"/>
              <w:rPr/>
            </w:pPr>
            <w:hyperlink w:anchor="a_029">
              <w:r>
                <w:rPr>
                  <w:rStyle w:val="InternetLink"/>
                  <w:rFonts w:ascii="Times New Roman;Times;Serif" w:hAnsi="Times New Roman;Times;Serif"/>
                  <w:sz w:val="20"/>
                </w:rPr>
                <w:t>MINE SAFETY DISCLOSURE</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148</w:t>
            </w:r>
          </w:p>
        </w:tc>
      </w:tr>
      <w:tr>
        <w:trPr/>
        <w:tc>
          <w:tcPr>
            <w:tcW w:w="980" w:type="dxa"/>
            <w:tcBorders/>
            <w:vAlign w:val="center"/>
          </w:tcPr>
          <w:p>
            <w:pPr>
              <w:pStyle w:val="TableContents"/>
              <w:bidi w:val="0"/>
              <w:spacing w:before="0" w:after="283"/>
              <w:jc w:val="left"/>
              <w:rPr/>
            </w:pPr>
            <w:r>
              <w:rPr/>
              <w:t> </w:t>
            </w:r>
          </w:p>
        </w:tc>
        <w:tc>
          <w:tcPr>
            <w:tcW w:w="765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16I.</w:t>
            </w:r>
          </w:p>
        </w:tc>
        <w:tc>
          <w:tcPr>
            <w:tcW w:w="7655" w:type="dxa"/>
            <w:tcBorders/>
            <w:shd w:fill="CCEEFF" w:val="clear"/>
            <w:vAlign w:val="center"/>
          </w:tcPr>
          <w:p>
            <w:pPr>
              <w:pStyle w:val="TableContents"/>
              <w:bidi w:val="0"/>
              <w:spacing w:before="0" w:after="283"/>
              <w:jc w:val="left"/>
              <w:rPr/>
            </w:pPr>
            <w:hyperlink w:anchor="a_030">
              <w:r>
                <w:rPr>
                  <w:rStyle w:val="InternetLink"/>
                  <w:rFonts w:ascii="Times New Roman;Times;Serif" w:hAnsi="Times New Roman;Times;Serif"/>
                  <w:sz w:val="20"/>
                </w:rPr>
                <w:t>DISCLOSURE REGARDING FOREIGN JURISDICTIONS THAT PREVENT INSPECTIONS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148</w:t>
            </w:r>
          </w:p>
        </w:tc>
      </w:tr>
      <w:tr>
        <w:trPr/>
        <w:tc>
          <w:tcPr>
            <w:tcW w:w="8635" w:type="dxa"/>
            <w:gridSpan w:val="2"/>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16J.</w:t>
            </w:r>
          </w:p>
        </w:tc>
        <w:tc>
          <w:tcPr>
            <w:tcW w:w="7655" w:type="dxa"/>
            <w:tcBorders/>
            <w:shd w:fill="CCEEFF" w:val="clear"/>
            <w:vAlign w:val="center"/>
          </w:tcPr>
          <w:p>
            <w:pPr>
              <w:pStyle w:val="TableContents"/>
              <w:bidi w:val="0"/>
              <w:spacing w:before="0" w:after="283"/>
              <w:jc w:val="left"/>
              <w:rPr/>
            </w:pPr>
            <w:hyperlink w:anchor="a_031">
              <w:r>
                <w:rPr>
                  <w:rStyle w:val="InternetLink"/>
                  <w:rFonts w:ascii="Times New Roman;Times;Serif" w:hAnsi="Times New Roman;Times;Serif"/>
                  <w:sz w:val="20"/>
                </w:rPr>
                <w:t>INSIDER TRADING POLICIES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148</w:t>
            </w:r>
          </w:p>
        </w:tc>
      </w:tr>
      <w:tr>
        <w:trPr/>
        <w:tc>
          <w:tcPr>
            <w:tcW w:w="8635" w:type="dxa"/>
            <w:gridSpan w:val="2"/>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16K.</w:t>
            </w:r>
          </w:p>
        </w:tc>
        <w:tc>
          <w:tcPr>
            <w:tcW w:w="7655" w:type="dxa"/>
            <w:tcBorders/>
            <w:shd w:fill="CCEEFF" w:val="clear"/>
            <w:vAlign w:val="center"/>
          </w:tcPr>
          <w:p>
            <w:pPr>
              <w:pStyle w:val="TableContents"/>
              <w:bidi w:val="0"/>
              <w:spacing w:before="0" w:after="283"/>
              <w:jc w:val="left"/>
              <w:rPr/>
            </w:pPr>
            <w:hyperlink w:anchor="a_032">
              <w:r>
                <w:rPr>
                  <w:rStyle w:val="InternetLink"/>
                  <w:rFonts w:ascii="Times New Roman;Times;Serif" w:hAnsi="Times New Roman;Times;Serif"/>
                  <w:sz w:val="20"/>
                </w:rPr>
                <w:t>CYBERSECURITY</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148</w:t>
            </w:r>
          </w:p>
        </w:tc>
      </w:tr>
      <w:tr>
        <w:trPr/>
        <w:tc>
          <w:tcPr>
            <w:tcW w:w="8635" w:type="dxa"/>
            <w:gridSpan w:val="2"/>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 </w:t>
            </w:r>
          </w:p>
        </w:tc>
      </w:tr>
      <w:tr>
        <w:trPr/>
        <w:tc>
          <w:tcPr>
            <w:tcW w:w="8635" w:type="dxa"/>
            <w:gridSpan w:val="2"/>
            <w:tcBorders/>
            <w:shd w:fill="CCEEFF" w:val="clear"/>
            <w:vAlign w:val="center"/>
          </w:tcPr>
          <w:p>
            <w:pPr>
              <w:pStyle w:val="TableContents"/>
              <w:bidi w:val="0"/>
              <w:spacing w:before="0" w:after="283"/>
              <w:jc w:val="left"/>
              <w:rPr/>
            </w:pPr>
            <w:hyperlink w:anchor="a_033">
              <w:r>
                <w:rPr>
                  <w:rStyle w:val="InternetLink"/>
                  <w:rFonts w:ascii="Times New Roman;Times;Serif" w:hAnsi="Times New Roman;Times;Serif"/>
                  <w:sz w:val="20"/>
                </w:rPr>
                <w:t>PART III</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149</w:t>
            </w:r>
          </w:p>
        </w:tc>
      </w:tr>
      <w:tr>
        <w:trPr/>
        <w:tc>
          <w:tcPr>
            <w:tcW w:w="980" w:type="dxa"/>
            <w:tcBorders/>
            <w:vAlign w:val="center"/>
          </w:tcPr>
          <w:p>
            <w:pPr>
              <w:pStyle w:val="TableContents"/>
              <w:bidi w:val="0"/>
              <w:spacing w:before="0" w:after="283"/>
              <w:jc w:val="left"/>
              <w:rPr/>
            </w:pPr>
            <w:r>
              <w:rPr/>
              <w:t> </w:t>
            </w:r>
          </w:p>
        </w:tc>
        <w:tc>
          <w:tcPr>
            <w:tcW w:w="765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17.</w:t>
            </w:r>
          </w:p>
        </w:tc>
        <w:tc>
          <w:tcPr>
            <w:tcW w:w="7655" w:type="dxa"/>
            <w:tcBorders/>
            <w:shd w:fill="CCEEFF" w:val="clear"/>
            <w:vAlign w:val="center"/>
          </w:tcPr>
          <w:p>
            <w:pPr>
              <w:pStyle w:val="TableContents"/>
              <w:bidi w:val="0"/>
              <w:spacing w:before="0" w:after="283"/>
              <w:jc w:val="left"/>
              <w:rPr/>
            </w:pPr>
            <w:hyperlink w:anchor="a_034">
              <w:r>
                <w:rPr>
                  <w:rStyle w:val="InternetLink"/>
                  <w:rFonts w:ascii="Times New Roman;Times;Serif" w:hAnsi="Times New Roman;Times;Serif"/>
                  <w:sz w:val="20"/>
                </w:rPr>
                <w:t>FINANCIAL STATEMENTS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149</w:t>
            </w:r>
          </w:p>
        </w:tc>
      </w:tr>
      <w:tr>
        <w:trPr/>
        <w:tc>
          <w:tcPr>
            <w:tcW w:w="980" w:type="dxa"/>
            <w:tcBorders/>
            <w:vAlign w:val="center"/>
          </w:tcPr>
          <w:p>
            <w:pPr>
              <w:pStyle w:val="TableContents"/>
              <w:bidi w:val="0"/>
              <w:spacing w:before="0" w:after="283"/>
              <w:jc w:val="left"/>
              <w:rPr/>
            </w:pPr>
            <w:r>
              <w:rPr/>
              <w:t> </w:t>
            </w:r>
          </w:p>
        </w:tc>
        <w:tc>
          <w:tcPr>
            <w:tcW w:w="765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18.</w:t>
            </w:r>
          </w:p>
        </w:tc>
        <w:tc>
          <w:tcPr>
            <w:tcW w:w="7655" w:type="dxa"/>
            <w:tcBorders/>
            <w:shd w:fill="CCEEFF" w:val="clear"/>
            <w:vAlign w:val="center"/>
          </w:tcPr>
          <w:p>
            <w:pPr>
              <w:pStyle w:val="TableContents"/>
              <w:bidi w:val="0"/>
              <w:spacing w:before="0" w:after="283"/>
              <w:jc w:val="left"/>
              <w:rPr/>
            </w:pPr>
            <w:hyperlink w:anchor="a_035">
              <w:r>
                <w:rPr>
                  <w:rStyle w:val="InternetLink"/>
                  <w:rFonts w:ascii="Times New Roman;Times;Serif" w:hAnsi="Times New Roman;Times;Serif"/>
                  <w:sz w:val="20"/>
                </w:rPr>
                <w:t>FINANCIAL STATEMENTS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149</w:t>
            </w:r>
          </w:p>
        </w:tc>
      </w:tr>
      <w:tr>
        <w:trPr/>
        <w:tc>
          <w:tcPr>
            <w:tcW w:w="980" w:type="dxa"/>
            <w:tcBorders/>
            <w:vAlign w:val="center"/>
          </w:tcPr>
          <w:p>
            <w:pPr>
              <w:pStyle w:val="TableContents"/>
              <w:bidi w:val="0"/>
              <w:spacing w:before="0" w:after="283"/>
              <w:jc w:val="left"/>
              <w:rPr/>
            </w:pPr>
            <w:r>
              <w:rPr/>
              <w:t> </w:t>
            </w:r>
          </w:p>
        </w:tc>
        <w:tc>
          <w:tcPr>
            <w:tcW w:w="765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 </w:t>
            </w:r>
          </w:p>
        </w:tc>
      </w:tr>
      <w:tr>
        <w:trPr/>
        <w:tc>
          <w:tcPr>
            <w:tcW w:w="9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19.</w:t>
            </w:r>
          </w:p>
        </w:tc>
        <w:tc>
          <w:tcPr>
            <w:tcW w:w="7655" w:type="dxa"/>
            <w:tcBorders/>
            <w:shd w:fill="CCEEFF" w:val="clear"/>
            <w:vAlign w:val="center"/>
          </w:tcPr>
          <w:p>
            <w:pPr>
              <w:pStyle w:val="TableContents"/>
              <w:bidi w:val="0"/>
              <w:spacing w:before="0" w:after="283"/>
              <w:jc w:val="left"/>
              <w:rPr/>
            </w:pPr>
            <w:hyperlink w:anchor="a_036">
              <w:r>
                <w:rPr>
                  <w:rStyle w:val="InternetLink"/>
                  <w:rFonts w:ascii="Times New Roman;Times;Serif" w:hAnsi="Times New Roman;Times;Serif"/>
                  <w:sz w:val="20"/>
                </w:rPr>
                <w:t>EXHIBITS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149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INTRODUCTION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annual report on Form 20-F, unless the context otherwise requires, references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w:t>
            </w:r>
            <w:r>
              <w:rPr>
                <w:rFonts w:ascii="Times New Roman;Times;Serif" w:hAnsi="Times New Roman;Times;Serif"/>
                <w:sz w:val="20"/>
              </w:rPr>
              <w:t>Chanson 23rd Street” are to Chanson 23rd Street LLC, a New York limited liability company, which is wholly owned by Chanson NY (as defined below);</w:t>
            </w:r>
          </w:p>
        </w:tc>
      </w:tr>
    </w:tbl>
    <w:p>
      <w:pPr>
        <w:pStyle w:val="TextBody"/>
        <w:bidi w:val="0"/>
        <w:spacing w:before="0" w:after="0"/>
        <w:ind w:left="767"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w:t>
            </w:r>
            <w:r>
              <w:rPr>
                <w:rFonts w:ascii="Times New Roman;Times;Serif" w:hAnsi="Times New Roman;Times;Serif"/>
                <w:sz w:val="20"/>
              </w:rPr>
              <w:t>Chanson 3rd Ave” are to Chanson 1293 3rd Ave LLC, a New York limited liability company, which is wholly owned by Chanson NY;</w:t>
            </w:r>
          </w:p>
        </w:tc>
      </w:tr>
    </w:tbl>
    <w:p>
      <w:pPr>
        <w:pStyle w:val="TextBody"/>
        <w:bidi w:val="0"/>
        <w:spacing w:before="0" w:after="0"/>
        <w:ind w:left="0" w:right="0" w:firstLine="148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w:t>
            </w:r>
            <w:r>
              <w:rPr>
                <w:rFonts w:ascii="Times New Roman;Times;Serif" w:hAnsi="Times New Roman;Times;Serif"/>
                <w:sz w:val="20"/>
              </w:rPr>
              <w:t>Chanson Broadway” are to Chanson 2040 Broadway LLC, a New York limited liability company, which is wholly owned by Chanson NY;</w:t>
            </w:r>
          </w:p>
        </w:tc>
      </w:tr>
    </w:tbl>
    <w:p>
      <w:pPr>
        <w:pStyle w:val="TextBody"/>
        <w:bidi w:val="0"/>
        <w:spacing w:before="0" w:after="0"/>
        <w:ind w:left="0" w:right="0" w:firstLine="148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w:t>
            </w:r>
            <w:r>
              <w:rPr>
                <w:rFonts w:ascii="Times New Roman;Times;Serif" w:hAnsi="Times New Roman;Times;Serif"/>
                <w:sz w:val="20"/>
              </w:rPr>
              <w:t>Chanson International,” “we,” “us,” “our Company,” or the “Company” are to Chanson International Holding, an exempted company with limited liability incorporated and registered under the laws of Cayman Islands;</w:t>
            </w:r>
          </w:p>
        </w:tc>
      </w:tr>
    </w:tbl>
    <w:p>
      <w:pPr>
        <w:pStyle w:val="TextBody"/>
        <w:bidi w:val="0"/>
        <w:spacing w:before="0" w:after="0"/>
        <w:ind w:left="0" w:right="0" w:firstLine="148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w:t>
            </w:r>
            <w:r>
              <w:rPr>
                <w:rFonts w:ascii="Times New Roman;Times;Serif" w:hAnsi="Times New Roman;Times;Serif"/>
                <w:sz w:val="20"/>
              </w:rPr>
              <w:t>Chanson NY” are to George Chanson (NY) Corp., a New York corporation, which is wholly owned by Xinjiang United Family (as defined below);</w:t>
            </w:r>
          </w:p>
        </w:tc>
      </w:tr>
    </w:tbl>
    <w:p>
      <w:pPr>
        <w:pStyle w:val="TextBody"/>
        <w:bidi w:val="0"/>
        <w:spacing w:before="0" w:after="0"/>
        <w:ind w:left="0" w:right="0" w:firstLine="1485"/>
        <w:jc w:val="both"/>
        <w:rPr>
          <w:caps w:val="false"/>
          <w:smallCaps w:val="false"/>
        </w:rPr>
      </w:pPr>
      <w:r>
        <w:rPr>
          <w:caps w:val="false"/>
          <w:smallCaps w:val="false"/>
        </w:rPr>
        <w:t> </w:t>
      </w:r>
    </w:p>
    <w:tbl>
      <w:tblPr>
        <w:tblW w:w="5335" w:type="dxa"/>
        <w:jc w:val="left"/>
        <w:tblInd w:w="0" w:type="dxa"/>
        <w:tblLayout w:type="fixed"/>
        <w:tblCellMar>
          <w:top w:w="0" w:type="dxa"/>
          <w:left w:w="0" w:type="dxa"/>
          <w:bottom w:w="0" w:type="dxa"/>
          <w:right w:w="0" w:type="dxa"/>
        </w:tblCellMar>
      </w:tblPr>
      <w:tblGrid>
        <w:gridCol w:w="105"/>
        <w:gridCol w:w="200"/>
        <w:gridCol w:w="503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030" w:type="dxa"/>
            <w:tcBorders/>
            <w:vAlign w:val="center"/>
          </w:tcPr>
          <w:p>
            <w:pPr>
              <w:pStyle w:val="TableContents"/>
              <w:bidi w:val="0"/>
              <w:spacing w:before="0" w:after="283"/>
              <w:jc w:val="both"/>
              <w:rPr/>
            </w:pPr>
            <w:r>
              <w:rPr/>
              <w:t>“</w:t>
            </w:r>
            <w:r>
              <w:rPr>
                <w:rFonts w:ascii="Times New Roman;Times;Serif" w:hAnsi="Times New Roman;Times;Serif"/>
                <w:sz w:val="20"/>
              </w:rPr>
              <w:t>China” or the “PRC” are to the People’s Republic of China;</w:t>
            </w:r>
          </w:p>
        </w:tc>
      </w:tr>
    </w:tbl>
    <w:p>
      <w:pPr>
        <w:pStyle w:val="TextBody"/>
        <w:bidi w:val="0"/>
        <w:spacing w:before="0" w:after="0"/>
        <w:ind w:left="0" w:right="0" w:firstLine="1485"/>
        <w:jc w:val="both"/>
        <w:rPr>
          <w:caps w:val="false"/>
          <w:smallCaps w:val="false"/>
        </w:rPr>
      </w:pPr>
      <w:r>
        <w:rPr>
          <w:caps w:val="false"/>
          <w:smallCaps w:val="false"/>
        </w:rPr>
        <w:t> </w:t>
      </w:r>
    </w:p>
    <w:tbl>
      <w:tblPr>
        <w:tblW w:w="9535" w:type="dxa"/>
        <w:jc w:val="left"/>
        <w:tblInd w:w="0" w:type="dxa"/>
        <w:tblLayout w:type="fixed"/>
        <w:tblCellMar>
          <w:top w:w="0" w:type="dxa"/>
          <w:left w:w="0" w:type="dxa"/>
          <w:bottom w:w="0" w:type="dxa"/>
          <w:right w:w="0" w:type="dxa"/>
        </w:tblCellMar>
      </w:tblPr>
      <w:tblGrid>
        <w:gridCol w:w="105"/>
        <w:gridCol w:w="200"/>
        <w:gridCol w:w="923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230" w:type="dxa"/>
            <w:tcBorders/>
            <w:vAlign w:val="center"/>
          </w:tcPr>
          <w:p>
            <w:pPr>
              <w:pStyle w:val="TableContents"/>
              <w:bidi w:val="0"/>
              <w:spacing w:before="0" w:after="283"/>
              <w:jc w:val="both"/>
              <w:rPr/>
            </w:pPr>
            <w:r>
              <w:rPr/>
              <w:t>“</w:t>
            </w:r>
            <w:r>
              <w:rPr>
                <w:rFonts w:ascii="Times New Roman;Times;Serif" w:hAnsi="Times New Roman;Times;Serif"/>
                <w:sz w:val="20"/>
              </w:rPr>
              <w:t>Class A Ordinary Shares” are to Class A ordinary shares of Chanson International, of US$0.0001 par value each;</w:t>
            </w:r>
          </w:p>
        </w:tc>
      </w:tr>
    </w:tbl>
    <w:p>
      <w:pPr>
        <w:pStyle w:val="TextBody"/>
        <w:bidi w:val="0"/>
        <w:spacing w:before="0" w:after="0"/>
        <w:ind w:left="0" w:right="0" w:firstLine="1485"/>
        <w:jc w:val="both"/>
        <w:rPr>
          <w:caps w:val="false"/>
          <w:smallCaps w:val="false"/>
        </w:rPr>
      </w:pPr>
      <w:r>
        <w:rPr>
          <w:caps w:val="false"/>
          <w:smallCaps w:val="false"/>
        </w:rPr>
        <w:t> </w:t>
      </w:r>
    </w:p>
    <w:tbl>
      <w:tblPr>
        <w:tblW w:w="9498" w:type="dxa"/>
        <w:jc w:val="left"/>
        <w:tblInd w:w="0" w:type="dxa"/>
        <w:tblLayout w:type="fixed"/>
        <w:tblCellMar>
          <w:top w:w="0" w:type="dxa"/>
          <w:left w:w="0" w:type="dxa"/>
          <w:bottom w:w="0" w:type="dxa"/>
          <w:right w:w="0" w:type="dxa"/>
        </w:tblCellMar>
      </w:tblPr>
      <w:tblGrid>
        <w:gridCol w:w="68"/>
        <w:gridCol w:w="200"/>
        <w:gridCol w:w="923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230" w:type="dxa"/>
            <w:tcBorders/>
            <w:vAlign w:val="center"/>
          </w:tcPr>
          <w:p>
            <w:pPr>
              <w:pStyle w:val="TableContents"/>
              <w:bidi w:val="0"/>
              <w:spacing w:before="0" w:after="283"/>
              <w:jc w:val="both"/>
              <w:rPr/>
            </w:pPr>
            <w:r>
              <w:rPr/>
              <w:t>“</w:t>
            </w:r>
            <w:r>
              <w:rPr>
                <w:rFonts w:ascii="Times New Roman;Times;Serif" w:hAnsi="Times New Roman;Times;Serif"/>
                <w:sz w:val="20"/>
              </w:rPr>
              <w:t>Class B Ordinary Shares” are to Class B ordinary shares of Chanson International, of US$0.0001 par value each;</w:t>
            </w:r>
          </w:p>
        </w:tc>
      </w:tr>
    </w:tbl>
    <w:p>
      <w:pPr>
        <w:pStyle w:val="TextBody"/>
        <w:bidi w:val="0"/>
        <w:spacing w:before="0" w:after="0"/>
        <w:ind w:left="0" w:right="0" w:firstLine="1485"/>
        <w:jc w:val="both"/>
        <w:rPr>
          <w:caps w:val="false"/>
          <w:smallCaps w:val="false"/>
        </w:rPr>
      </w:pPr>
      <w:r>
        <w:rPr>
          <w:caps w:val="false"/>
          <w:smallCaps w:val="false"/>
        </w:rPr>
        <w:t> </w:t>
      </w:r>
    </w:p>
    <w:tbl>
      <w:tblPr>
        <w:tblW w:w="9130" w:type="dxa"/>
        <w:jc w:val="left"/>
        <w:tblInd w:w="0" w:type="dxa"/>
        <w:tblLayout w:type="fixed"/>
        <w:tblCellMar>
          <w:top w:w="0" w:type="dxa"/>
          <w:left w:w="0" w:type="dxa"/>
          <w:bottom w:w="0" w:type="dxa"/>
          <w:right w:w="0" w:type="dxa"/>
        </w:tblCellMar>
      </w:tblPr>
      <w:tblGrid>
        <w:gridCol w:w="105"/>
        <w:gridCol w:w="200"/>
        <w:gridCol w:w="882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825" w:type="dxa"/>
            <w:tcBorders/>
            <w:vAlign w:val="center"/>
          </w:tcPr>
          <w:p>
            <w:pPr>
              <w:pStyle w:val="TableContents"/>
              <w:bidi w:val="0"/>
              <w:spacing w:before="0" w:after="283"/>
              <w:jc w:val="both"/>
              <w:rPr/>
            </w:pPr>
            <w:r>
              <w:rPr/>
              <w:t>“</w:t>
            </w:r>
            <w:r>
              <w:rPr>
                <w:rFonts w:ascii="Times New Roman;Times;Serif" w:hAnsi="Times New Roman;Times;Serif"/>
                <w:sz w:val="20"/>
              </w:rPr>
              <w:t>Deen Global” are to our wholly owned subsidiary, Deen Global Limited, a British Virgin Islands company;</w:t>
            </w:r>
          </w:p>
        </w:tc>
      </w:tr>
    </w:tbl>
    <w:p>
      <w:pPr>
        <w:pStyle w:val="TextBody"/>
        <w:bidi w:val="0"/>
        <w:spacing w:before="0" w:after="0"/>
        <w:ind w:left="0" w:right="0" w:firstLine="148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w:t>
            </w:r>
            <w:r>
              <w:rPr>
                <w:rFonts w:ascii="Times New Roman;Times;Serif" w:hAnsi="Times New Roman;Times;Serif"/>
                <w:sz w:val="20"/>
              </w:rPr>
              <w:t>George Chanson Trading” is to Urumqi George Chanson Trading Co., Ltd., a limited liability company organized under the laws of the PRC on March 3, 2025, and wholly-owned by Xinjiang United Family.</w:t>
            </w:r>
          </w:p>
        </w:tc>
      </w:tr>
    </w:tbl>
    <w:p>
      <w:pPr>
        <w:pStyle w:val="TextBody"/>
        <w:bidi w:val="0"/>
        <w:spacing w:before="0" w:after="0"/>
        <w:ind w:left="0" w:right="0" w:firstLine="1485"/>
        <w:jc w:val="both"/>
        <w:rPr>
          <w:caps w:val="false"/>
          <w:smallCaps w:val="false"/>
        </w:rPr>
      </w:pPr>
      <w:r>
        <w:rPr>
          <w:caps w:val="false"/>
          <w:smallCaps w:val="false"/>
        </w:rPr>
        <w:t> </w:t>
      </w:r>
    </w:p>
    <w:tbl>
      <w:tblPr>
        <w:tblW w:w="9130" w:type="dxa"/>
        <w:jc w:val="left"/>
        <w:tblInd w:w="0" w:type="dxa"/>
        <w:tblLayout w:type="fixed"/>
        <w:tblCellMar>
          <w:top w:w="0" w:type="dxa"/>
          <w:left w:w="0" w:type="dxa"/>
          <w:bottom w:w="0" w:type="dxa"/>
          <w:right w:w="0" w:type="dxa"/>
        </w:tblCellMar>
      </w:tblPr>
      <w:tblGrid>
        <w:gridCol w:w="105"/>
        <w:gridCol w:w="200"/>
        <w:gridCol w:w="882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825" w:type="dxa"/>
            <w:tcBorders/>
            <w:vAlign w:val="center"/>
          </w:tcPr>
          <w:p>
            <w:pPr>
              <w:pStyle w:val="TableContents"/>
              <w:bidi w:val="0"/>
              <w:spacing w:before="0" w:after="283"/>
              <w:jc w:val="both"/>
              <w:rPr/>
            </w:pPr>
            <w:r>
              <w:rPr/>
              <w:t>“</w:t>
            </w:r>
            <w:r>
              <w:rPr>
                <w:rFonts w:ascii="Times New Roman;Times;Serif" w:hAnsi="Times New Roman;Times;Serif"/>
                <w:sz w:val="20"/>
              </w:rPr>
              <w:t>Jenyd” are to Deen Global’s wholly owned subsidiary, Jenyd Holdings Limited, a Hong Kong corporation;</w:t>
            </w:r>
          </w:p>
        </w:tc>
      </w:tr>
    </w:tbl>
    <w:p>
      <w:pPr>
        <w:pStyle w:val="TextBody"/>
        <w:bidi w:val="0"/>
        <w:spacing w:before="0" w:after="0"/>
        <w:ind w:left="0" w:right="0" w:firstLine="1485"/>
        <w:jc w:val="both"/>
        <w:rPr>
          <w:caps w:val="false"/>
          <w:smallCaps w:val="false"/>
        </w:rPr>
      </w:pPr>
      <w:r>
        <w:rPr>
          <w:caps w:val="false"/>
          <w:smallCaps w:val="false"/>
        </w:rPr>
        <w:t> </w:t>
      </w:r>
    </w:p>
    <w:tbl>
      <w:tblPr>
        <w:tblW w:w="9505" w:type="dxa"/>
        <w:jc w:val="left"/>
        <w:tblInd w:w="0" w:type="dxa"/>
        <w:tblLayout w:type="fixed"/>
        <w:tblCellMar>
          <w:top w:w="0" w:type="dxa"/>
          <w:left w:w="0" w:type="dxa"/>
          <w:bottom w:w="0" w:type="dxa"/>
          <w:right w:w="0" w:type="dxa"/>
        </w:tblCellMar>
      </w:tblPr>
      <w:tblGrid>
        <w:gridCol w:w="105"/>
        <w:gridCol w:w="200"/>
        <w:gridCol w:w="92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200" w:type="dxa"/>
            <w:tcBorders/>
            <w:vAlign w:val="center"/>
          </w:tcPr>
          <w:p>
            <w:pPr>
              <w:pStyle w:val="TableContents"/>
              <w:bidi w:val="0"/>
              <w:spacing w:before="0" w:after="283"/>
              <w:jc w:val="both"/>
              <w:rPr/>
            </w:pPr>
            <w:r>
              <w:rPr/>
              <w:t>“</w:t>
            </w:r>
            <w:r>
              <w:rPr>
                <w:rFonts w:ascii="Times New Roman;Times;Serif" w:hAnsi="Times New Roman;Times;Serif"/>
                <w:sz w:val="20"/>
              </w:rPr>
              <w:t>ordinary shares” or “Ordinary Shares” are to Class A Ordinary Shares and Class B Ordinary Shares, collectively;</w:t>
            </w:r>
          </w:p>
        </w:tc>
      </w:tr>
    </w:tbl>
    <w:p>
      <w:pPr>
        <w:pStyle w:val="TextBody"/>
        <w:bidi w:val="0"/>
        <w:spacing w:before="0" w:after="0"/>
        <w:ind w:left="0" w:right="0" w:firstLine="148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w:t>
            </w:r>
            <w:r>
              <w:rPr>
                <w:rFonts w:ascii="Times New Roman;Times;Serif" w:hAnsi="Times New Roman;Times;Serif"/>
                <w:sz w:val="20"/>
              </w:rPr>
              <w:t>the operating entities” are to Xinjiang United Family and its branch offices, the VIEs, and the U.S. Stores (as defined below);</w:t>
            </w:r>
          </w:p>
        </w:tc>
      </w:tr>
    </w:tbl>
    <w:p>
      <w:pPr>
        <w:pStyle w:val="TextBody"/>
        <w:bidi w:val="0"/>
        <w:spacing w:before="0" w:after="0"/>
        <w:ind w:left="0" w:right="0" w:firstLine="148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“PRC Stores” are to a bakery chain consisting of 63 stores in business operated by Xinjiang United Family, George Chanson Trading, and the VIEs under our “George Chanson</w:t>
            </w:r>
            <w:r>
              <w:rPr>
                <w:rFonts w:ascii="Times New Roman;Times;Serif" w:hAnsi="Times New Roman;Times;Serif"/>
                <w:position w:val="7"/>
                <w:sz w:val="16"/>
                <w:sz w:val="20"/>
              </w:rPr>
              <w:t>TM</w:t>
            </w:r>
            <w:r>
              <w:rPr>
                <w:rFonts w:ascii="Times New Roman;Times;Serif" w:hAnsi="Times New Roman;Times;Serif"/>
                <w:sz w:val="20"/>
              </w:rPr>
              <w:t>” brand in Xinjiang;</w:t>
            </w:r>
          </w:p>
        </w:tc>
      </w:tr>
    </w:tbl>
    <w:p>
      <w:pPr>
        <w:pStyle w:val="TextBody"/>
        <w:bidi w:val="0"/>
        <w:spacing w:before="0" w:after="0"/>
        <w:ind w:left="0" w:right="0" w:firstLine="1485"/>
        <w:jc w:val="both"/>
        <w:rPr>
          <w:caps w:val="false"/>
          <w:smallCaps w:val="false"/>
        </w:rPr>
      </w:pPr>
      <w:r>
        <w:rPr>
          <w:caps w:val="false"/>
          <w:smallCaps w:val="false"/>
        </w:rPr>
        <w:t> </w:t>
      </w:r>
    </w:p>
    <w:tbl>
      <w:tblPr>
        <w:tblW w:w="7525" w:type="dxa"/>
        <w:jc w:val="left"/>
        <w:tblInd w:w="0" w:type="dxa"/>
        <w:tblLayout w:type="fixed"/>
        <w:tblCellMar>
          <w:top w:w="0" w:type="dxa"/>
          <w:left w:w="0" w:type="dxa"/>
          <w:bottom w:w="0" w:type="dxa"/>
          <w:right w:w="0" w:type="dxa"/>
        </w:tblCellMar>
      </w:tblPr>
      <w:tblGrid>
        <w:gridCol w:w="105"/>
        <w:gridCol w:w="200"/>
        <w:gridCol w:w="722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“U.S. Stores” are to Chanson 23rd Street, Chanson Broadway and Chanson 3rd Ave; </w:t>
            </w:r>
          </w:p>
        </w:tc>
      </w:tr>
    </w:tbl>
    <w:p>
      <w:pPr>
        <w:pStyle w:val="TextBody"/>
        <w:bidi w:val="0"/>
        <w:spacing w:before="0" w:after="0"/>
        <w:ind w:left="0" w:right="0" w:firstLine="148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“VIEs,” the “United Family Group,” or “UFG” are to 53 individually-owned businesses organized under the laws of the PRC, 43 of which are owned by our Chairman, Mr. Gang Li, four of which are owned by Ms. Hui Wang, the Marketing Director of Xinjiang United Family, four of which are owned by Mr. Peng Chen, the Sales Manager of Xinjiang United Family, and two of which are owned by Ms. Xiaoli Zhao;</w:t>
            </w:r>
          </w:p>
        </w:tc>
      </w:tr>
    </w:tbl>
    <w:p>
      <w:pPr>
        <w:pStyle w:val="TextBody"/>
        <w:bidi w:val="0"/>
        <w:spacing w:before="0" w:after="0"/>
        <w:ind w:left="0" w:right="0" w:firstLine="1485"/>
        <w:jc w:val="both"/>
        <w:rPr>
          <w:caps w:val="false"/>
          <w:smallCaps w:val="false"/>
        </w:rPr>
      </w:pPr>
      <w:r>
        <w:rPr>
          <w:caps w:val="false"/>
          <w:smallCaps w:val="false"/>
        </w:rPr>
        <w:t> </w:t>
      </w:r>
    </w:p>
    <w:tbl>
      <w:tblPr>
        <w:tblW w:w="7060" w:type="dxa"/>
        <w:jc w:val="left"/>
        <w:tblInd w:w="0" w:type="dxa"/>
        <w:tblLayout w:type="fixed"/>
        <w:tblCellMar>
          <w:top w:w="0" w:type="dxa"/>
          <w:left w:w="0" w:type="dxa"/>
          <w:bottom w:w="0" w:type="dxa"/>
          <w:right w:w="0" w:type="dxa"/>
        </w:tblCellMar>
      </w:tblPr>
      <w:tblGrid>
        <w:gridCol w:w="105"/>
        <w:gridCol w:w="200"/>
        <w:gridCol w:w="675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755" w:type="dxa"/>
            <w:tcBorders/>
            <w:vAlign w:val="center"/>
          </w:tcPr>
          <w:p>
            <w:pPr>
              <w:pStyle w:val="TableContents"/>
              <w:bidi w:val="0"/>
              <w:spacing w:before="0" w:after="283"/>
              <w:jc w:val="both"/>
              <w:rPr/>
            </w:pPr>
            <w:r>
              <w:rPr/>
              <w:t>“</w:t>
            </w:r>
            <w:r>
              <w:rPr>
                <w:rFonts w:ascii="Times New Roman;Times;Serif" w:hAnsi="Times New Roman;Times;Serif"/>
                <w:sz w:val="20"/>
              </w:rPr>
              <w:t>U.S. GAAP” are to generally accepted accounting principles in the United States;</w:t>
            </w:r>
          </w:p>
        </w:tc>
      </w:tr>
    </w:tbl>
    <w:p>
      <w:pPr>
        <w:pStyle w:val="TextBody"/>
        <w:bidi w:val="0"/>
        <w:spacing w:before="0" w:after="0"/>
        <w:ind w:left="0" w:right="0" w:firstLine="1485"/>
        <w:jc w:val="both"/>
        <w:rPr>
          <w:caps w:val="false"/>
          <w:smallCaps w:val="false"/>
        </w:rPr>
      </w:pPr>
      <w:r>
        <w:rPr>
          <w:caps w:val="false"/>
          <w:smallCaps w:val="false"/>
        </w:rPr>
        <w:t> </w:t>
      </w:r>
    </w:p>
    <w:tbl>
      <w:tblPr>
        <w:tblW w:w="3340" w:type="dxa"/>
        <w:jc w:val="left"/>
        <w:tblInd w:w="0" w:type="dxa"/>
        <w:tblLayout w:type="fixed"/>
        <w:tblCellMar>
          <w:top w:w="0" w:type="dxa"/>
          <w:left w:w="0" w:type="dxa"/>
          <w:bottom w:w="0" w:type="dxa"/>
          <w:right w:w="0" w:type="dxa"/>
        </w:tblCellMar>
      </w:tblPr>
      <w:tblGrid>
        <w:gridCol w:w="105"/>
        <w:gridCol w:w="200"/>
        <w:gridCol w:w="303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035" w:type="dxa"/>
            <w:tcBorders/>
            <w:vAlign w:val="center"/>
          </w:tcPr>
          <w:p>
            <w:pPr>
              <w:pStyle w:val="TableContents"/>
              <w:bidi w:val="0"/>
              <w:spacing w:before="0" w:after="283"/>
              <w:jc w:val="both"/>
              <w:rPr/>
            </w:pPr>
            <w:r>
              <w:rPr/>
              <w:t>“</w:t>
            </w:r>
            <w:r>
              <w:rPr>
                <w:rFonts w:ascii="Times New Roman;Times;Serif" w:hAnsi="Times New Roman;Times;Serif"/>
                <w:sz w:val="20"/>
              </w:rPr>
              <w:t>VIE” are to variable interest entity;</w:t>
            </w:r>
          </w:p>
        </w:tc>
      </w:tr>
    </w:tbl>
    <w:p>
      <w:pPr>
        <w:pStyle w:val="TextBody"/>
        <w:bidi w:val="0"/>
        <w:spacing w:before="0" w:after="0"/>
        <w:ind w:left="0" w:right="0" w:firstLine="1485"/>
        <w:jc w:val="both"/>
        <w:rPr>
          <w:caps w:val="false"/>
          <w:smallCaps w:val="false"/>
        </w:rPr>
      </w:pPr>
      <w:r>
        <w:rPr>
          <w:caps w:val="false"/>
          <w:smallCaps w:val="false"/>
        </w:rPr>
        <w:t> </w:t>
      </w:r>
    </w:p>
    <w:tbl>
      <w:tblPr>
        <w:tblW w:w="6505" w:type="dxa"/>
        <w:jc w:val="left"/>
        <w:tblInd w:w="0" w:type="dxa"/>
        <w:tblLayout w:type="fixed"/>
        <w:tblCellMar>
          <w:top w:w="0" w:type="dxa"/>
          <w:left w:w="0" w:type="dxa"/>
          <w:bottom w:w="0" w:type="dxa"/>
          <w:right w:w="0" w:type="dxa"/>
        </w:tblCellMar>
      </w:tblPr>
      <w:tblGrid>
        <w:gridCol w:w="105"/>
        <w:gridCol w:w="200"/>
        <w:gridCol w:w="62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200" w:type="dxa"/>
            <w:tcBorders/>
            <w:vAlign w:val="center"/>
          </w:tcPr>
          <w:p>
            <w:pPr>
              <w:pStyle w:val="TableContents"/>
              <w:bidi w:val="0"/>
              <w:spacing w:before="0" w:after="283"/>
              <w:jc w:val="both"/>
              <w:rPr/>
            </w:pPr>
            <w:r>
              <w:rPr/>
              <w:t>“</w:t>
            </w:r>
            <w:r>
              <w:rPr>
                <w:rFonts w:ascii="Times New Roman;Times;Serif" w:hAnsi="Times New Roman;Times;Serif"/>
                <w:sz w:val="20"/>
              </w:rPr>
              <w:t>Xinjiang” are to the Xinjiang Uygur Autonomous Region of the PRC; and</w:t>
            </w:r>
          </w:p>
        </w:tc>
      </w:tr>
    </w:tbl>
    <w:p>
      <w:pPr>
        <w:pStyle w:val="TextBody"/>
        <w:bidi w:val="0"/>
        <w:spacing w:before="0" w:after="0"/>
        <w:ind w:left="0" w:right="0" w:firstLine="148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w:t>
            </w:r>
            <w:r>
              <w:rPr>
                <w:rFonts w:ascii="Times New Roman;Times;Serif" w:hAnsi="Times New Roman;Times;Serif"/>
                <w:sz w:val="20"/>
              </w:rPr>
              <w:t>Xinjiang United Family” or “our PRC subsidiary” are to Xinjiang United Family Trading Co., Ltd., a limited liability company organized under the laws of the PRC, which is wholly owned by Jenyd.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functional currency of Xinjiang United Family, our wholly owned indirect subsidiary in the PRC, and the VIEs, is Renminbi (“RMB”), the currency of China, and the functional currency of the U.S. Stores is U.S. dollars. Our consolidated financial statements are presented in U.S. dollars. In this annual report, we refer to assets, obligations, commitments, and liabilities in our consolidated financial statements in U.S. dollars. These dollar references are based on exchange rates of RMB to U.S. dollars, determined as of a specific date or for a specific period. Changes in the exchange rate will affect the amount of our obligations and the value of our assets in terms of U.S. dollars which may result in an increase or decrease in the amount of our obligations (expressed in dollars) and the value of our assets, including accounts receivable (expressed in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FORWARD-LOOKING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contains forward-looking statements that reflect our current expectations and views of future events, all of which are subject to risks and uncertainties. Forward-looking statements give our current expectations or forecasts of future events. You can identify these statements by the fact that they do not relate strictly to historical or current facts. You can find many (but not all) of these statements by the use of words such as “approximates,” “believes,” “hopes,” “expects,” “anticipates,” “estimates,” “projects,” “intends,” “plans,” “will,” “would,” “should,” “could,” “may,” or other similar expressions in this annual report. These statements are likely to address our growth strategy, financial results, and product and development programs. You must carefully consider any such statements and should understand that many factors could cause actual results to differ from our forward-looking statements. These factors may include inaccurate assumptions and a broad variety of other risks and uncertainties, including some that are known and some that are not. No forward-looking statement can be guaranteed and actual future results may vary materially. Factors that could cause actual results to differ from those discussed in the forward-looking statements include, but are not limited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assumptions about our future financial and operating results, including revenue, income, expenditures, cash balances, and other financial items;</w:t>
            </w:r>
          </w:p>
        </w:tc>
      </w:tr>
    </w:tbl>
    <w:p>
      <w:pPr>
        <w:pStyle w:val="TextBody"/>
        <w:bidi w:val="0"/>
        <w:spacing w:before="0" w:after="0"/>
        <w:ind w:left="765" w:right="0" w:hanging="0"/>
        <w:jc w:val="both"/>
        <w:rPr>
          <w:caps w:val="false"/>
          <w:smallCaps w:val="false"/>
        </w:rPr>
      </w:pPr>
      <w:r>
        <w:rPr>
          <w:caps w:val="false"/>
          <w:smallCaps w:val="false"/>
        </w:rPr>
        <w:t> </w:t>
      </w:r>
    </w:p>
    <w:tbl>
      <w:tblPr>
        <w:tblW w:w="7990" w:type="dxa"/>
        <w:jc w:val="left"/>
        <w:tblInd w:w="0" w:type="dxa"/>
        <w:tblLayout w:type="fixed"/>
        <w:tblCellMar>
          <w:top w:w="0" w:type="dxa"/>
          <w:left w:w="0" w:type="dxa"/>
          <w:bottom w:w="0" w:type="dxa"/>
          <w:right w:w="0" w:type="dxa"/>
        </w:tblCellMar>
      </w:tblPr>
      <w:tblGrid>
        <w:gridCol w:w="105"/>
        <w:gridCol w:w="200"/>
        <w:gridCol w:w="768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6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execute our growth and expansion plan, including our ability to meet our goals;</w:t>
            </w:r>
          </w:p>
        </w:tc>
      </w:tr>
    </w:tbl>
    <w:p>
      <w:pPr>
        <w:pStyle w:val="TextBody"/>
        <w:bidi w:val="0"/>
        <w:spacing w:before="0" w:after="0"/>
        <w:ind w:left="765" w:right="0" w:hanging="0"/>
        <w:jc w:val="both"/>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105"/>
        <w:gridCol w:w="200"/>
        <w:gridCol w:w="443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4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current and future economic and political conditions;</w:t>
            </w:r>
          </w:p>
        </w:tc>
      </w:tr>
    </w:tbl>
    <w:p>
      <w:pPr>
        <w:pStyle w:val="TextBody"/>
        <w:bidi w:val="0"/>
        <w:spacing w:before="0" w:after="0"/>
        <w:ind w:left="765" w:right="0" w:hanging="0"/>
        <w:jc w:val="both"/>
        <w:rPr>
          <w:caps w:val="false"/>
          <w:smallCaps w:val="false"/>
        </w:rPr>
      </w:pPr>
      <w:r>
        <w:rPr>
          <w:caps w:val="false"/>
          <w:smallCaps w:val="false"/>
        </w:rPr>
        <w:t> </w:t>
      </w:r>
    </w:p>
    <w:tbl>
      <w:tblPr>
        <w:tblW w:w="5500" w:type="dxa"/>
        <w:jc w:val="left"/>
        <w:tblInd w:w="0" w:type="dxa"/>
        <w:tblLayout w:type="fixed"/>
        <w:tblCellMar>
          <w:top w:w="0" w:type="dxa"/>
          <w:left w:w="0" w:type="dxa"/>
          <w:bottom w:w="0" w:type="dxa"/>
          <w:right w:w="0" w:type="dxa"/>
        </w:tblCellMar>
      </w:tblPr>
      <w:tblGrid>
        <w:gridCol w:w="105"/>
        <w:gridCol w:w="200"/>
        <w:gridCol w:w="519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1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compete in an industry with low barriers to entry;</w:t>
            </w:r>
          </w:p>
        </w:tc>
      </w:tr>
    </w:tbl>
    <w:p>
      <w:pPr>
        <w:pStyle w:val="TextBody"/>
        <w:bidi w:val="0"/>
        <w:spacing w:before="0" w:after="0"/>
        <w:ind w:left="765" w:right="0" w:hanging="0"/>
        <w:jc w:val="both"/>
        <w:rPr>
          <w:caps w:val="false"/>
          <w:smallCaps w:val="false"/>
        </w:rPr>
      </w:pPr>
      <w:r>
        <w:rPr>
          <w:caps w:val="false"/>
          <w:smallCaps w:val="false"/>
        </w:rPr>
        <w:t> </w:t>
      </w:r>
    </w:p>
    <w:tbl>
      <w:tblPr>
        <w:tblW w:w="5245" w:type="dxa"/>
        <w:jc w:val="left"/>
        <w:tblInd w:w="0" w:type="dxa"/>
        <w:tblLayout w:type="fixed"/>
        <w:tblCellMar>
          <w:top w:w="0" w:type="dxa"/>
          <w:left w:w="0" w:type="dxa"/>
          <w:bottom w:w="0" w:type="dxa"/>
          <w:right w:w="0" w:type="dxa"/>
        </w:tblCellMar>
      </w:tblPr>
      <w:tblGrid>
        <w:gridCol w:w="105"/>
        <w:gridCol w:w="200"/>
        <w:gridCol w:w="494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continue to operate through the VIE structure;</w:t>
            </w:r>
          </w:p>
        </w:tc>
      </w:tr>
    </w:tbl>
    <w:p>
      <w:pPr>
        <w:pStyle w:val="TextBody"/>
        <w:bidi w:val="0"/>
        <w:spacing w:before="0" w:after="0"/>
        <w:ind w:left="765" w:right="0" w:hanging="0"/>
        <w:jc w:val="both"/>
        <w:rPr>
          <w:caps w:val="false"/>
          <w:smallCaps w:val="false"/>
        </w:rPr>
      </w:pPr>
      <w:r>
        <w:rPr>
          <w:caps w:val="false"/>
          <w:smallCaps w:val="false"/>
        </w:rPr>
        <w:t> </w:t>
      </w:r>
    </w:p>
    <w:tbl>
      <w:tblPr>
        <w:tblW w:w="8170" w:type="dxa"/>
        <w:jc w:val="left"/>
        <w:tblInd w:w="0" w:type="dxa"/>
        <w:tblLayout w:type="fixed"/>
        <w:tblCellMar>
          <w:top w:w="0" w:type="dxa"/>
          <w:left w:w="0" w:type="dxa"/>
          <w:bottom w:w="0" w:type="dxa"/>
          <w:right w:w="0" w:type="dxa"/>
        </w:tblCellMar>
      </w:tblPr>
      <w:tblGrid>
        <w:gridCol w:w="105"/>
        <w:gridCol w:w="200"/>
        <w:gridCol w:w="786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8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capital requirements and our ability to raise any additional financing which we may require;</w:t>
            </w:r>
          </w:p>
        </w:tc>
      </w:tr>
    </w:tbl>
    <w:p>
      <w:pPr>
        <w:pStyle w:val="TextBody"/>
        <w:bidi w:val="0"/>
        <w:spacing w:before="0" w:after="0"/>
        <w:ind w:left="765" w:right="0" w:hanging="0"/>
        <w:jc w:val="both"/>
        <w:rPr>
          <w:caps w:val="false"/>
          <w:smallCaps w:val="false"/>
        </w:rPr>
      </w:pPr>
      <w:r>
        <w:rPr>
          <w:caps w:val="false"/>
          <w:smallCaps w:val="false"/>
        </w:rPr>
        <w:t> </w:t>
      </w:r>
    </w:p>
    <w:tbl>
      <w:tblPr>
        <w:tblW w:w="6265" w:type="dxa"/>
        <w:jc w:val="left"/>
        <w:tblInd w:w="0" w:type="dxa"/>
        <w:tblLayout w:type="fixed"/>
        <w:tblCellMar>
          <w:top w:w="0" w:type="dxa"/>
          <w:left w:w="0" w:type="dxa"/>
          <w:bottom w:w="0" w:type="dxa"/>
          <w:right w:w="0" w:type="dxa"/>
        </w:tblCellMar>
      </w:tblPr>
      <w:tblGrid>
        <w:gridCol w:w="105"/>
        <w:gridCol w:w="200"/>
        <w:gridCol w:w="59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attract customers and further enhance our brand awareness;</w:t>
            </w:r>
          </w:p>
        </w:tc>
      </w:tr>
    </w:tbl>
    <w:p>
      <w:pPr>
        <w:pStyle w:val="TextBody"/>
        <w:bidi w:val="0"/>
        <w:spacing w:before="0" w:after="0"/>
        <w:ind w:left="765"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hire and retain qualified management personnel and key employees in order to enable us to develop our business;</w:t>
            </w:r>
          </w:p>
        </w:tc>
      </w:tr>
    </w:tbl>
    <w:p>
      <w:pPr>
        <w:pStyle w:val="TextBody"/>
        <w:bidi w:val="0"/>
        <w:spacing w:before="0" w:after="0"/>
        <w:ind w:left="765" w:right="0" w:hanging="0"/>
        <w:jc w:val="both"/>
        <w:rPr>
          <w:caps w:val="false"/>
          <w:smallCaps w:val="false"/>
        </w:rPr>
      </w:pPr>
      <w:r>
        <w:rPr>
          <w:caps w:val="false"/>
          <w:smallCaps w:val="false"/>
        </w:rPr>
        <w:t> </w:t>
      </w:r>
    </w:p>
    <w:tbl>
      <w:tblPr>
        <w:tblW w:w="4510" w:type="dxa"/>
        <w:jc w:val="left"/>
        <w:tblInd w:w="0" w:type="dxa"/>
        <w:tblLayout w:type="fixed"/>
        <w:tblCellMar>
          <w:top w:w="0" w:type="dxa"/>
          <w:left w:w="0" w:type="dxa"/>
          <w:bottom w:w="0" w:type="dxa"/>
          <w:right w:w="0" w:type="dxa"/>
        </w:tblCellMar>
      </w:tblPr>
      <w:tblGrid>
        <w:gridCol w:w="105"/>
        <w:gridCol w:w="200"/>
        <w:gridCol w:w="420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2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trends and competition in the bakery industry; and</w:t>
            </w:r>
          </w:p>
        </w:tc>
      </w:tr>
    </w:tbl>
    <w:p>
      <w:pPr>
        <w:pStyle w:val="TextBody"/>
        <w:bidi w:val="0"/>
        <w:spacing w:before="0" w:after="0"/>
        <w:ind w:left="765" w:right="0" w:hanging="0"/>
        <w:jc w:val="both"/>
        <w:rPr>
          <w:caps w:val="false"/>
          <w:smallCaps w:val="false"/>
        </w:rPr>
      </w:pPr>
      <w:r>
        <w:rPr>
          <w:caps w:val="false"/>
          <w:smallCaps w:val="false"/>
        </w:rPr>
        <w:t>  </w:t>
      </w:r>
    </w:p>
    <w:tbl>
      <w:tblPr>
        <w:tblW w:w="9070" w:type="dxa"/>
        <w:jc w:val="left"/>
        <w:tblInd w:w="0" w:type="dxa"/>
        <w:tblLayout w:type="fixed"/>
        <w:tblCellMar>
          <w:top w:w="0" w:type="dxa"/>
          <w:left w:w="0" w:type="dxa"/>
          <w:bottom w:w="0" w:type="dxa"/>
          <w:right w:w="0" w:type="dxa"/>
        </w:tblCellMar>
      </w:tblPr>
      <w:tblGrid>
        <w:gridCol w:w="105"/>
        <w:gridCol w:w="200"/>
        <w:gridCol w:w="876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7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assumptions described in this annual report underlying or relating to any forward-looking statements.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describe certain material risks, uncertainties and assumptions that could affect our business, including our financial condition and results of operations, under “Risk Factors.” We base our forward-looking statements on our management’s beliefs and assumptions based on information available to our management at the time the statements are made. We caution you that actual outcomes and results may, and are likely to, differ materially from what is expressed, implied, or forecast by our forward-looking statements. Accordingly, you should be careful about relying on any forward-looking statements. Except as required under the federal securities laws, we do not have any intention or obligation to update publicly any forward-looking statements after the distribution of this annual report, whether as a result of new information, future events, changes in assumptions, or otherwise.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Part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Item 1. IDENTITY OF DIRECTORS, SENIOR MANAGEMENT AND ADVISERS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Item 2. OFFER STATISTICS AND EXPECTED TIMETABLE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Item 3. KEY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Corporate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Corporate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holding company incorporated in the Cayman Islands and not a Chinese operating company. As of the date of this annual report, as a holding company with no material operations of our own, we conduct our business through:</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94"/>
        <w:gridCol w:w="9806"/>
      </w:tblGrid>
      <w:tr>
        <w:trPr/>
        <w:tc>
          <w:tcPr>
            <w:tcW w:w="105"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8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association between Xinjiang United Family and the VIEs known as the “United Family Group” or “UFG”: 43 of the entities that comprise UFG (each a “UFG Entity” and, collectively, the “UFG Entities”) are owned by the chairman of our board of directors (“the Chairman”), Mr. Gang Li, 4 of the entities are owned by Ms. Hui Wang, the Marketing Director of Xinjiang United Family, 4 of the entities are owned by Mr. Peng Chen, and 2 of the entities are owned by Ms. Xiaoli Zhao. Mr. Gang Li, Ms. Hui Wang, Mr. Peng Chen and Ms. Xiaoli Zhao are referred herein individually as a “UFG Operator” and collectively as the “UFG Operators.” For accounting purposes, we control and receive the economic benefits of the UFG Entities through the VIE Agreements, which enable us to consolidate the financial results of the VIEs in our consolidated financial statements under U.S. GAAP, and the structure involves unique risks to investors. For more details on the United Family Group, please see “- The United Family Group.” Our Class A Ordinary Shares are shares of Chanson International, the offshore holding company in the Cayman Islands, instead of shares of Xinjiang United Family or the UFG Entities. The VIE structure provides contractual exposure to foreign investment in China-based companies. Chinese law does not prohibit direct foreign investment in the VIEs. As a result of our use of the VIE structure, investors may never directly hold equity interests in the UFG Entities;</w:t>
            </w:r>
          </w:p>
        </w:tc>
      </w:tr>
      <w:tr>
        <w:trPr/>
        <w:tc>
          <w:tcPr>
            <w:tcW w:w="105"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9806"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8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Xinjiang United Family and its 9 branches;</w:t>
            </w:r>
          </w:p>
        </w:tc>
      </w:tr>
      <w:tr>
        <w:trPr/>
        <w:tc>
          <w:tcPr>
            <w:tcW w:w="105"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9806"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George Chanson Trading and its one branch; and</w:t>
            </w:r>
          </w:p>
        </w:tc>
      </w:tr>
      <w:tr>
        <w:trPr/>
        <w:tc>
          <w:tcPr>
            <w:tcW w:w="105"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9806"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U.S. Stores.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diagram illustrates our corporate structure as of the date of this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858000" cy="2314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23145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All percentages reflect the voting ownership interests instead of the equity interests held by each of our shareholders given that each holder of Class B Ordinary Shares will be entitled to 50 votes per one Class B Ordinary Share and each holder of Class A Ordinary Shares will be entitled to one vote per one Class A Ordinary Share.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33,750 Class A Ordinary Shares and 70,875 Class B Ordinary Shares beneficially owned by Gang Li, the 100% owner of Danton Global Limited, as of the date of this annual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3,375 Class A Ordinary Shares beneficially owned by Jihong Cai, the 100% owner of Haily Global Limited, as of the date of this annual report.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complete list of the stores of Xinjiang United Family and UFG in business as of the date of this annual report, together with their recognized commercial name and relationship to Xinjiang United Family.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90"/>
        <w:gridCol w:w="3422"/>
        <w:gridCol w:w="90"/>
        <w:gridCol w:w="1803"/>
        <w:gridCol w:w="90"/>
        <w:gridCol w:w="4435"/>
      </w:tblGrid>
      <w:tr>
        <w:trPr/>
        <w:tc>
          <w:tcPr>
            <w:tcW w:w="2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3422"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Legal Name of Entity</w:t>
            </w:r>
          </w:p>
        </w:tc>
        <w:tc>
          <w:tcPr>
            <w:tcW w:w="90" w:type="dxa"/>
            <w:tcBorders/>
            <w:vAlign w:val="center"/>
          </w:tcPr>
          <w:p>
            <w:pPr>
              <w:pStyle w:val="TableContents"/>
              <w:bidi w:val="0"/>
              <w:spacing w:before="0" w:after="283"/>
              <w:jc w:val="left"/>
              <w:rPr/>
            </w:pPr>
            <w:r>
              <w:rPr/>
              <w:t> </w:t>
            </w:r>
          </w:p>
        </w:tc>
        <w:tc>
          <w:tcPr>
            <w:tcW w:w="1803"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Commercial Name</w:t>
            </w:r>
          </w:p>
        </w:tc>
        <w:tc>
          <w:tcPr>
            <w:tcW w:w="90" w:type="dxa"/>
            <w:tcBorders/>
            <w:vAlign w:val="center"/>
          </w:tcPr>
          <w:p>
            <w:pPr>
              <w:pStyle w:val="TableContents"/>
              <w:bidi w:val="0"/>
              <w:spacing w:before="0" w:after="283"/>
              <w:jc w:val="left"/>
              <w:rPr/>
            </w:pPr>
            <w:r>
              <w:rPr/>
              <w:t> </w:t>
            </w:r>
          </w:p>
        </w:tc>
        <w:tc>
          <w:tcPr>
            <w:tcW w:w="443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Nature of Entity</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0" w:type="dxa"/>
            <w:tcBorders/>
            <w:shd w:fill="CCEEFF" w:val="clear"/>
            <w:vAlign w:val="center"/>
          </w:tcPr>
          <w:p>
            <w:pPr>
              <w:pStyle w:val="TableContents"/>
              <w:bidi w:val="0"/>
              <w:spacing w:before="0" w:after="283"/>
              <w:jc w:val="left"/>
              <w:rPr/>
            </w:pPr>
            <w:r>
              <w:rPr/>
              <w:t> </w:t>
            </w:r>
          </w:p>
        </w:tc>
        <w:tc>
          <w:tcPr>
            <w:tcW w:w="34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Tianshan District Minzhu Rd. George Chanson Bakery</w:t>
            </w:r>
          </w:p>
        </w:tc>
        <w:tc>
          <w:tcPr>
            <w:tcW w:w="90" w:type="dxa"/>
            <w:tcBorders/>
            <w:shd w:fill="CCEEFF" w:val="clear"/>
            <w:vAlign w:val="center"/>
          </w:tcPr>
          <w:p>
            <w:pPr>
              <w:pStyle w:val="TableContents"/>
              <w:bidi w:val="0"/>
              <w:spacing w:before="0" w:after="283"/>
              <w:jc w:val="left"/>
              <w:rPr/>
            </w:pPr>
            <w:r>
              <w:rPr/>
              <w:t> </w:t>
            </w:r>
          </w:p>
        </w:tc>
        <w:tc>
          <w:tcPr>
            <w:tcW w:w="18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Minzhu Road</w:t>
            </w:r>
          </w:p>
        </w:tc>
        <w:tc>
          <w:tcPr>
            <w:tcW w:w="90" w:type="dxa"/>
            <w:tcBorders/>
            <w:shd w:fill="CCEEFF" w:val="clear"/>
            <w:vAlign w:val="center"/>
          </w:tcPr>
          <w:p>
            <w:pPr>
              <w:pStyle w:val="TableContents"/>
              <w:bidi w:val="0"/>
              <w:spacing w:before="0" w:after="283"/>
              <w:jc w:val="left"/>
              <w:rPr/>
            </w:pPr>
            <w:r>
              <w:rPr/>
              <w:t> </w:t>
            </w:r>
          </w:p>
        </w:tc>
        <w:tc>
          <w:tcPr>
            <w:tcW w:w="443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 of UFG - owned 100% by Mr. Gang Li and operated under the VIE Agreements among Mr. Gang Li, this entity, and Xinjiang United Family</w:t>
            </w:r>
          </w:p>
        </w:tc>
      </w:tr>
      <w:tr>
        <w:trPr/>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2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35"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0" w:type="dxa"/>
            <w:tcBorders/>
            <w:shd w:fill="CCEEFF" w:val="clear"/>
            <w:vAlign w:val="center"/>
          </w:tcPr>
          <w:p>
            <w:pPr>
              <w:pStyle w:val="TableContents"/>
              <w:bidi w:val="0"/>
              <w:spacing w:before="0" w:after="283"/>
              <w:jc w:val="left"/>
              <w:rPr/>
            </w:pPr>
            <w:r>
              <w:rPr/>
              <w:t> </w:t>
            </w:r>
          </w:p>
        </w:tc>
        <w:tc>
          <w:tcPr>
            <w:tcW w:w="34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Tianshan District Xinmin Rd. George Chanson Bakery</w:t>
            </w:r>
          </w:p>
        </w:tc>
        <w:tc>
          <w:tcPr>
            <w:tcW w:w="90" w:type="dxa"/>
            <w:tcBorders/>
            <w:shd w:fill="CCEEFF" w:val="clear"/>
            <w:vAlign w:val="center"/>
          </w:tcPr>
          <w:p>
            <w:pPr>
              <w:pStyle w:val="TableContents"/>
              <w:bidi w:val="0"/>
              <w:spacing w:before="0" w:after="283"/>
              <w:jc w:val="left"/>
              <w:rPr/>
            </w:pPr>
            <w:r>
              <w:rPr/>
              <w:t> </w:t>
            </w:r>
          </w:p>
        </w:tc>
        <w:tc>
          <w:tcPr>
            <w:tcW w:w="18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Beimen</w:t>
            </w:r>
          </w:p>
        </w:tc>
        <w:tc>
          <w:tcPr>
            <w:tcW w:w="90" w:type="dxa"/>
            <w:tcBorders/>
            <w:shd w:fill="CCEEFF" w:val="clear"/>
            <w:vAlign w:val="center"/>
          </w:tcPr>
          <w:p>
            <w:pPr>
              <w:pStyle w:val="TableContents"/>
              <w:bidi w:val="0"/>
              <w:spacing w:before="0" w:after="283"/>
              <w:jc w:val="left"/>
              <w:rPr/>
            </w:pPr>
            <w:r>
              <w:rPr/>
              <w:t> </w:t>
            </w:r>
          </w:p>
        </w:tc>
        <w:tc>
          <w:tcPr>
            <w:tcW w:w="44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2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35"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0" w:type="dxa"/>
            <w:tcBorders/>
            <w:shd w:fill="CCEEFF" w:val="clear"/>
            <w:vAlign w:val="center"/>
          </w:tcPr>
          <w:p>
            <w:pPr>
              <w:pStyle w:val="TableContents"/>
              <w:bidi w:val="0"/>
              <w:spacing w:before="0" w:after="283"/>
              <w:jc w:val="left"/>
              <w:rPr/>
            </w:pPr>
            <w:r>
              <w:rPr/>
              <w:t> </w:t>
            </w:r>
          </w:p>
        </w:tc>
        <w:tc>
          <w:tcPr>
            <w:tcW w:w="34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Tianshan District Jiefang North Rd. George Chanson Bakery</w:t>
            </w:r>
          </w:p>
        </w:tc>
        <w:tc>
          <w:tcPr>
            <w:tcW w:w="90" w:type="dxa"/>
            <w:tcBorders/>
            <w:shd w:fill="CCEEFF" w:val="clear"/>
            <w:vAlign w:val="center"/>
          </w:tcPr>
          <w:p>
            <w:pPr>
              <w:pStyle w:val="TableContents"/>
              <w:bidi w:val="0"/>
              <w:spacing w:before="0" w:after="283"/>
              <w:jc w:val="left"/>
              <w:rPr/>
            </w:pPr>
            <w:r>
              <w:rPr/>
              <w:t> </w:t>
            </w:r>
          </w:p>
        </w:tc>
        <w:tc>
          <w:tcPr>
            <w:tcW w:w="18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Wanyancheng</w:t>
            </w:r>
          </w:p>
        </w:tc>
        <w:tc>
          <w:tcPr>
            <w:tcW w:w="90" w:type="dxa"/>
            <w:tcBorders/>
            <w:shd w:fill="CCEEFF" w:val="clear"/>
            <w:vAlign w:val="center"/>
          </w:tcPr>
          <w:p>
            <w:pPr>
              <w:pStyle w:val="TableContents"/>
              <w:bidi w:val="0"/>
              <w:spacing w:before="0" w:after="283"/>
              <w:jc w:val="left"/>
              <w:rPr/>
            </w:pPr>
            <w:r>
              <w:rPr/>
              <w:t> </w:t>
            </w:r>
          </w:p>
        </w:tc>
        <w:tc>
          <w:tcPr>
            <w:tcW w:w="44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2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35"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0" w:type="dxa"/>
            <w:tcBorders/>
            <w:shd w:fill="CCEEFF" w:val="clear"/>
            <w:vAlign w:val="center"/>
          </w:tcPr>
          <w:p>
            <w:pPr>
              <w:pStyle w:val="TableContents"/>
              <w:bidi w:val="0"/>
              <w:spacing w:before="0" w:after="283"/>
              <w:jc w:val="left"/>
              <w:rPr/>
            </w:pPr>
            <w:r>
              <w:rPr/>
              <w:t> </w:t>
            </w:r>
          </w:p>
        </w:tc>
        <w:tc>
          <w:tcPr>
            <w:tcW w:w="34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Tianshan District Xinhua North Rd. George Chanson Bakery</w:t>
            </w:r>
          </w:p>
        </w:tc>
        <w:tc>
          <w:tcPr>
            <w:tcW w:w="90" w:type="dxa"/>
            <w:tcBorders/>
            <w:shd w:fill="CCEEFF" w:val="clear"/>
            <w:vAlign w:val="center"/>
          </w:tcPr>
          <w:p>
            <w:pPr>
              <w:pStyle w:val="TableContents"/>
              <w:bidi w:val="0"/>
              <w:spacing w:before="0" w:after="283"/>
              <w:jc w:val="left"/>
              <w:rPr/>
            </w:pPr>
            <w:r>
              <w:rPr/>
              <w:t> </w:t>
            </w:r>
          </w:p>
        </w:tc>
        <w:tc>
          <w:tcPr>
            <w:tcW w:w="18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Hongshan</w:t>
            </w:r>
          </w:p>
        </w:tc>
        <w:tc>
          <w:tcPr>
            <w:tcW w:w="90" w:type="dxa"/>
            <w:tcBorders/>
            <w:shd w:fill="CCEEFF" w:val="clear"/>
            <w:vAlign w:val="center"/>
          </w:tcPr>
          <w:p>
            <w:pPr>
              <w:pStyle w:val="TableContents"/>
              <w:bidi w:val="0"/>
              <w:spacing w:before="0" w:after="283"/>
              <w:jc w:val="left"/>
              <w:rPr/>
            </w:pPr>
            <w:r>
              <w:rPr/>
              <w:t> </w:t>
            </w:r>
          </w:p>
        </w:tc>
        <w:tc>
          <w:tcPr>
            <w:tcW w:w="44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2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35"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0" w:type="dxa"/>
            <w:tcBorders/>
            <w:shd w:fill="CCEEFF" w:val="clear"/>
            <w:vAlign w:val="center"/>
          </w:tcPr>
          <w:p>
            <w:pPr>
              <w:pStyle w:val="TableContents"/>
              <w:bidi w:val="0"/>
              <w:spacing w:before="0" w:after="283"/>
              <w:jc w:val="left"/>
              <w:rPr/>
            </w:pPr>
            <w:r>
              <w:rPr/>
              <w:t> </w:t>
            </w:r>
          </w:p>
        </w:tc>
        <w:tc>
          <w:tcPr>
            <w:tcW w:w="34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Xinshi District Changchun South Rd. George Chanson Bakery</w:t>
            </w:r>
          </w:p>
        </w:tc>
        <w:tc>
          <w:tcPr>
            <w:tcW w:w="90" w:type="dxa"/>
            <w:tcBorders/>
            <w:shd w:fill="CCEEFF" w:val="clear"/>
            <w:vAlign w:val="center"/>
          </w:tcPr>
          <w:p>
            <w:pPr>
              <w:pStyle w:val="TableContents"/>
              <w:bidi w:val="0"/>
              <w:spacing w:before="0" w:after="283"/>
              <w:jc w:val="left"/>
              <w:rPr/>
            </w:pPr>
            <w:r>
              <w:rPr/>
              <w:t> </w:t>
            </w:r>
          </w:p>
        </w:tc>
        <w:tc>
          <w:tcPr>
            <w:tcW w:w="18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Changchun</w:t>
            </w:r>
          </w:p>
        </w:tc>
        <w:tc>
          <w:tcPr>
            <w:tcW w:w="90" w:type="dxa"/>
            <w:tcBorders/>
            <w:shd w:fill="CCEEFF" w:val="clear"/>
            <w:vAlign w:val="center"/>
          </w:tcPr>
          <w:p>
            <w:pPr>
              <w:pStyle w:val="TableContents"/>
              <w:bidi w:val="0"/>
              <w:spacing w:before="0" w:after="283"/>
              <w:jc w:val="left"/>
              <w:rPr/>
            </w:pPr>
            <w:r>
              <w:rPr/>
              <w:t> </w:t>
            </w:r>
          </w:p>
        </w:tc>
        <w:tc>
          <w:tcPr>
            <w:tcW w:w="44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2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35"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0" w:type="dxa"/>
            <w:tcBorders/>
            <w:shd w:fill="CCEEFF" w:val="clear"/>
            <w:vAlign w:val="center"/>
          </w:tcPr>
          <w:p>
            <w:pPr>
              <w:pStyle w:val="TableContents"/>
              <w:bidi w:val="0"/>
              <w:spacing w:before="0" w:after="283"/>
              <w:jc w:val="left"/>
              <w:rPr/>
            </w:pPr>
            <w:r>
              <w:rPr/>
              <w:t> </w:t>
            </w:r>
          </w:p>
        </w:tc>
        <w:tc>
          <w:tcPr>
            <w:tcW w:w="34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Urumqi Economics and Technology Development District George Chanson Bakery on Kashi West Rd.</w:t>
            </w:r>
          </w:p>
        </w:tc>
        <w:tc>
          <w:tcPr>
            <w:tcW w:w="90" w:type="dxa"/>
            <w:tcBorders/>
            <w:shd w:fill="CCEEFF" w:val="clear"/>
            <w:vAlign w:val="center"/>
          </w:tcPr>
          <w:p>
            <w:pPr>
              <w:pStyle w:val="TableContents"/>
              <w:bidi w:val="0"/>
              <w:spacing w:before="0" w:after="283"/>
              <w:jc w:val="left"/>
              <w:rPr/>
            </w:pPr>
            <w:r>
              <w:rPr/>
              <w:t> </w:t>
            </w:r>
          </w:p>
        </w:tc>
        <w:tc>
          <w:tcPr>
            <w:tcW w:w="18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Huarun Wanjia</w:t>
            </w:r>
          </w:p>
        </w:tc>
        <w:tc>
          <w:tcPr>
            <w:tcW w:w="90" w:type="dxa"/>
            <w:tcBorders/>
            <w:shd w:fill="CCEEFF" w:val="clear"/>
            <w:vAlign w:val="center"/>
          </w:tcPr>
          <w:p>
            <w:pPr>
              <w:pStyle w:val="TableContents"/>
              <w:bidi w:val="0"/>
              <w:spacing w:before="0" w:after="283"/>
              <w:jc w:val="left"/>
              <w:rPr/>
            </w:pPr>
            <w:r>
              <w:rPr/>
              <w:t> </w:t>
            </w:r>
          </w:p>
        </w:tc>
        <w:tc>
          <w:tcPr>
            <w:tcW w:w="44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2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35"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0" w:type="dxa"/>
            <w:tcBorders/>
            <w:shd w:fill="CCEEFF" w:val="clear"/>
            <w:vAlign w:val="center"/>
          </w:tcPr>
          <w:p>
            <w:pPr>
              <w:pStyle w:val="TableContents"/>
              <w:bidi w:val="0"/>
              <w:spacing w:before="0" w:after="283"/>
              <w:jc w:val="left"/>
              <w:rPr/>
            </w:pPr>
            <w:r>
              <w:rPr/>
              <w:t> </w:t>
            </w:r>
          </w:p>
        </w:tc>
        <w:tc>
          <w:tcPr>
            <w:tcW w:w="34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Shayibake District Yining Rd.  George Chanson Bakery</w:t>
            </w:r>
          </w:p>
        </w:tc>
        <w:tc>
          <w:tcPr>
            <w:tcW w:w="90" w:type="dxa"/>
            <w:tcBorders/>
            <w:shd w:fill="CCEEFF" w:val="clear"/>
            <w:vAlign w:val="center"/>
          </w:tcPr>
          <w:p>
            <w:pPr>
              <w:pStyle w:val="TableContents"/>
              <w:bidi w:val="0"/>
              <w:spacing w:before="0" w:after="283"/>
              <w:jc w:val="left"/>
              <w:rPr/>
            </w:pPr>
            <w:r>
              <w:rPr/>
              <w:t> </w:t>
            </w:r>
          </w:p>
        </w:tc>
        <w:tc>
          <w:tcPr>
            <w:tcW w:w="18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Dehui Wanda</w:t>
            </w:r>
          </w:p>
        </w:tc>
        <w:tc>
          <w:tcPr>
            <w:tcW w:w="90" w:type="dxa"/>
            <w:tcBorders/>
            <w:shd w:fill="CCEEFF" w:val="clear"/>
            <w:vAlign w:val="center"/>
          </w:tcPr>
          <w:p>
            <w:pPr>
              <w:pStyle w:val="TableContents"/>
              <w:bidi w:val="0"/>
              <w:spacing w:before="0" w:after="283"/>
              <w:jc w:val="left"/>
              <w:rPr/>
            </w:pPr>
            <w:r>
              <w:rPr/>
              <w:t> </w:t>
            </w:r>
          </w:p>
        </w:tc>
        <w:tc>
          <w:tcPr>
            <w:tcW w:w="44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2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35"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0" w:type="dxa"/>
            <w:tcBorders/>
            <w:shd w:fill="CCEEFF" w:val="clear"/>
            <w:vAlign w:val="center"/>
          </w:tcPr>
          <w:p>
            <w:pPr>
              <w:pStyle w:val="TableContents"/>
              <w:bidi w:val="0"/>
              <w:spacing w:before="0" w:after="283"/>
              <w:jc w:val="left"/>
              <w:rPr/>
            </w:pPr>
            <w:r>
              <w:rPr/>
              <w:t> </w:t>
            </w:r>
          </w:p>
        </w:tc>
        <w:tc>
          <w:tcPr>
            <w:tcW w:w="34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Changji George Chanson Bakery</w:t>
            </w:r>
          </w:p>
        </w:tc>
        <w:tc>
          <w:tcPr>
            <w:tcW w:w="90" w:type="dxa"/>
            <w:tcBorders/>
            <w:shd w:fill="CCEEFF" w:val="clear"/>
            <w:vAlign w:val="center"/>
          </w:tcPr>
          <w:p>
            <w:pPr>
              <w:pStyle w:val="TableContents"/>
              <w:bidi w:val="0"/>
              <w:spacing w:before="0" w:after="283"/>
              <w:jc w:val="left"/>
              <w:rPr/>
            </w:pPr>
            <w:r>
              <w:rPr/>
              <w:t> </w:t>
            </w:r>
          </w:p>
        </w:tc>
        <w:tc>
          <w:tcPr>
            <w:tcW w:w="18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Changji Huijia</w:t>
            </w:r>
          </w:p>
        </w:tc>
        <w:tc>
          <w:tcPr>
            <w:tcW w:w="90" w:type="dxa"/>
            <w:tcBorders/>
            <w:shd w:fill="CCEEFF" w:val="clear"/>
            <w:vAlign w:val="center"/>
          </w:tcPr>
          <w:p>
            <w:pPr>
              <w:pStyle w:val="TableContents"/>
              <w:bidi w:val="0"/>
              <w:spacing w:before="0" w:after="283"/>
              <w:jc w:val="left"/>
              <w:rPr/>
            </w:pPr>
            <w:r>
              <w:rPr/>
              <w:t> </w:t>
            </w:r>
          </w:p>
        </w:tc>
        <w:tc>
          <w:tcPr>
            <w:tcW w:w="44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2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35"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90" w:type="dxa"/>
            <w:tcBorders/>
            <w:shd w:fill="CCEEFF" w:val="clear"/>
            <w:vAlign w:val="center"/>
          </w:tcPr>
          <w:p>
            <w:pPr>
              <w:pStyle w:val="TableContents"/>
              <w:bidi w:val="0"/>
              <w:spacing w:before="0" w:after="283"/>
              <w:jc w:val="left"/>
              <w:rPr/>
            </w:pPr>
            <w:r>
              <w:rPr/>
              <w:t> </w:t>
            </w:r>
          </w:p>
        </w:tc>
        <w:tc>
          <w:tcPr>
            <w:tcW w:w="34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Shuimogou District South Nanhu Rd. George Chanson Bakery</w:t>
            </w:r>
          </w:p>
        </w:tc>
        <w:tc>
          <w:tcPr>
            <w:tcW w:w="90" w:type="dxa"/>
            <w:tcBorders/>
            <w:shd w:fill="CCEEFF" w:val="clear"/>
            <w:vAlign w:val="center"/>
          </w:tcPr>
          <w:p>
            <w:pPr>
              <w:pStyle w:val="TableContents"/>
              <w:bidi w:val="0"/>
              <w:spacing w:before="0" w:after="283"/>
              <w:jc w:val="left"/>
              <w:rPr/>
            </w:pPr>
            <w:r>
              <w:rPr/>
              <w:t> </w:t>
            </w:r>
          </w:p>
        </w:tc>
        <w:tc>
          <w:tcPr>
            <w:tcW w:w="18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Nanhu</w:t>
            </w:r>
          </w:p>
        </w:tc>
        <w:tc>
          <w:tcPr>
            <w:tcW w:w="90" w:type="dxa"/>
            <w:tcBorders/>
            <w:shd w:fill="CCEEFF" w:val="clear"/>
            <w:vAlign w:val="center"/>
          </w:tcPr>
          <w:p>
            <w:pPr>
              <w:pStyle w:val="TableContents"/>
              <w:bidi w:val="0"/>
              <w:spacing w:before="0" w:after="283"/>
              <w:jc w:val="left"/>
              <w:rPr/>
            </w:pPr>
            <w:r>
              <w:rPr/>
              <w:t> </w:t>
            </w:r>
          </w:p>
        </w:tc>
        <w:tc>
          <w:tcPr>
            <w:tcW w:w="44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2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35"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90" w:type="dxa"/>
            <w:tcBorders/>
            <w:shd w:fill="CCEEFF" w:val="clear"/>
            <w:vAlign w:val="center"/>
          </w:tcPr>
          <w:p>
            <w:pPr>
              <w:pStyle w:val="TableContents"/>
              <w:bidi w:val="0"/>
              <w:spacing w:before="0" w:after="283"/>
              <w:jc w:val="left"/>
              <w:rPr/>
            </w:pPr>
            <w:r>
              <w:rPr/>
              <w:t> </w:t>
            </w:r>
          </w:p>
        </w:tc>
        <w:tc>
          <w:tcPr>
            <w:tcW w:w="34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Xinshi District Hebei East Rd. George Chanson Bakery</w:t>
            </w:r>
          </w:p>
        </w:tc>
        <w:tc>
          <w:tcPr>
            <w:tcW w:w="90" w:type="dxa"/>
            <w:tcBorders/>
            <w:shd w:fill="CCEEFF" w:val="clear"/>
            <w:vAlign w:val="center"/>
          </w:tcPr>
          <w:p>
            <w:pPr>
              <w:pStyle w:val="TableContents"/>
              <w:bidi w:val="0"/>
              <w:spacing w:before="0" w:after="283"/>
              <w:jc w:val="left"/>
              <w:rPr/>
            </w:pPr>
            <w:r>
              <w:rPr/>
              <w:t> </w:t>
            </w:r>
          </w:p>
        </w:tc>
        <w:tc>
          <w:tcPr>
            <w:tcW w:w="18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Hebei Road Huarun</w:t>
            </w:r>
          </w:p>
        </w:tc>
        <w:tc>
          <w:tcPr>
            <w:tcW w:w="90" w:type="dxa"/>
            <w:tcBorders/>
            <w:shd w:fill="CCEEFF" w:val="clear"/>
            <w:vAlign w:val="center"/>
          </w:tcPr>
          <w:p>
            <w:pPr>
              <w:pStyle w:val="TableContents"/>
              <w:bidi w:val="0"/>
              <w:spacing w:before="0" w:after="283"/>
              <w:jc w:val="left"/>
              <w:rPr/>
            </w:pPr>
            <w:r>
              <w:rPr/>
              <w:t> </w:t>
            </w:r>
          </w:p>
        </w:tc>
        <w:tc>
          <w:tcPr>
            <w:tcW w:w="44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2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35"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90" w:type="dxa"/>
            <w:tcBorders/>
            <w:shd w:fill="CCEEFF" w:val="clear"/>
            <w:vAlign w:val="center"/>
          </w:tcPr>
          <w:p>
            <w:pPr>
              <w:pStyle w:val="TableContents"/>
              <w:bidi w:val="0"/>
              <w:spacing w:before="0" w:after="283"/>
              <w:jc w:val="left"/>
              <w:rPr/>
            </w:pPr>
            <w:r>
              <w:rPr/>
              <w:t> </w:t>
            </w:r>
          </w:p>
        </w:tc>
        <w:tc>
          <w:tcPr>
            <w:tcW w:w="34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Urumqi Toutunhe District George Chanson Bakery on Zhongya South Rd.</w:t>
            </w:r>
          </w:p>
        </w:tc>
        <w:tc>
          <w:tcPr>
            <w:tcW w:w="90" w:type="dxa"/>
            <w:tcBorders/>
            <w:shd w:fill="CCEEFF" w:val="clear"/>
            <w:vAlign w:val="center"/>
          </w:tcPr>
          <w:p>
            <w:pPr>
              <w:pStyle w:val="TableContents"/>
              <w:bidi w:val="0"/>
              <w:spacing w:before="0" w:after="283"/>
              <w:jc w:val="left"/>
              <w:rPr/>
            </w:pPr>
            <w:r>
              <w:rPr/>
              <w:t> </w:t>
            </w:r>
          </w:p>
        </w:tc>
        <w:tc>
          <w:tcPr>
            <w:tcW w:w="18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Degang Wanda</w:t>
            </w:r>
          </w:p>
        </w:tc>
        <w:tc>
          <w:tcPr>
            <w:tcW w:w="90" w:type="dxa"/>
            <w:tcBorders/>
            <w:shd w:fill="CCEEFF" w:val="clear"/>
            <w:vAlign w:val="center"/>
          </w:tcPr>
          <w:p>
            <w:pPr>
              <w:pStyle w:val="TableContents"/>
              <w:bidi w:val="0"/>
              <w:spacing w:before="0" w:after="283"/>
              <w:jc w:val="left"/>
              <w:rPr/>
            </w:pPr>
            <w:r>
              <w:rPr/>
              <w:t> </w:t>
            </w:r>
          </w:p>
        </w:tc>
        <w:tc>
          <w:tcPr>
            <w:tcW w:w="44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2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35"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90" w:type="dxa"/>
            <w:tcBorders/>
            <w:shd w:fill="CCEEFF" w:val="clear"/>
            <w:vAlign w:val="center"/>
          </w:tcPr>
          <w:p>
            <w:pPr>
              <w:pStyle w:val="TableContents"/>
              <w:bidi w:val="0"/>
              <w:spacing w:before="0" w:after="283"/>
              <w:jc w:val="left"/>
              <w:rPr/>
            </w:pPr>
            <w:r>
              <w:rPr/>
              <w:t> </w:t>
            </w:r>
          </w:p>
        </w:tc>
        <w:tc>
          <w:tcPr>
            <w:tcW w:w="34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Shayibake District Karamay West Rd. Chanson Bakery</w:t>
            </w:r>
          </w:p>
        </w:tc>
        <w:tc>
          <w:tcPr>
            <w:tcW w:w="90" w:type="dxa"/>
            <w:tcBorders/>
            <w:shd w:fill="CCEEFF" w:val="clear"/>
            <w:vAlign w:val="center"/>
          </w:tcPr>
          <w:p>
            <w:pPr>
              <w:pStyle w:val="TableContents"/>
              <w:bidi w:val="0"/>
              <w:spacing w:before="0" w:after="283"/>
              <w:jc w:val="left"/>
              <w:rPr/>
            </w:pPr>
            <w:r>
              <w:rPr/>
              <w:t> </w:t>
            </w:r>
          </w:p>
        </w:tc>
        <w:tc>
          <w:tcPr>
            <w:tcW w:w="18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Xinbei Yuanchun</w:t>
            </w:r>
          </w:p>
        </w:tc>
        <w:tc>
          <w:tcPr>
            <w:tcW w:w="90" w:type="dxa"/>
            <w:tcBorders/>
            <w:shd w:fill="CCEEFF" w:val="clear"/>
            <w:vAlign w:val="center"/>
          </w:tcPr>
          <w:p>
            <w:pPr>
              <w:pStyle w:val="TableContents"/>
              <w:bidi w:val="0"/>
              <w:spacing w:before="0" w:after="283"/>
              <w:jc w:val="left"/>
              <w:rPr/>
            </w:pPr>
            <w:r>
              <w:rPr/>
              <w:t> </w:t>
            </w:r>
          </w:p>
        </w:tc>
        <w:tc>
          <w:tcPr>
            <w:tcW w:w="44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2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35"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90" w:type="dxa"/>
            <w:tcBorders/>
            <w:shd w:fill="CCEEFF" w:val="clear"/>
            <w:vAlign w:val="center"/>
          </w:tcPr>
          <w:p>
            <w:pPr>
              <w:pStyle w:val="TableContents"/>
              <w:bidi w:val="0"/>
              <w:spacing w:before="0" w:after="283"/>
              <w:jc w:val="left"/>
              <w:rPr/>
            </w:pPr>
            <w:r>
              <w:rPr/>
              <w:t> </w:t>
            </w:r>
          </w:p>
        </w:tc>
        <w:tc>
          <w:tcPr>
            <w:tcW w:w="34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Tianshan District Qingnian Rd. Chanson Bakery</w:t>
            </w:r>
          </w:p>
        </w:tc>
        <w:tc>
          <w:tcPr>
            <w:tcW w:w="90" w:type="dxa"/>
            <w:tcBorders/>
            <w:shd w:fill="CCEEFF" w:val="clear"/>
            <w:vAlign w:val="center"/>
          </w:tcPr>
          <w:p>
            <w:pPr>
              <w:pStyle w:val="TableContents"/>
              <w:bidi w:val="0"/>
              <w:spacing w:before="0" w:after="283"/>
              <w:jc w:val="left"/>
              <w:rPr/>
            </w:pPr>
            <w:r>
              <w:rPr/>
              <w:t> </w:t>
            </w:r>
          </w:p>
        </w:tc>
        <w:tc>
          <w:tcPr>
            <w:tcW w:w="18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Qingnian Road Haojiaxiang</w:t>
            </w:r>
          </w:p>
        </w:tc>
        <w:tc>
          <w:tcPr>
            <w:tcW w:w="90" w:type="dxa"/>
            <w:tcBorders/>
            <w:shd w:fill="CCEEFF" w:val="clear"/>
            <w:vAlign w:val="center"/>
          </w:tcPr>
          <w:p>
            <w:pPr>
              <w:pStyle w:val="TableContents"/>
              <w:bidi w:val="0"/>
              <w:spacing w:before="0" w:after="283"/>
              <w:jc w:val="left"/>
              <w:rPr/>
            </w:pPr>
            <w:r>
              <w:rPr/>
              <w:t> </w:t>
            </w:r>
          </w:p>
        </w:tc>
        <w:tc>
          <w:tcPr>
            <w:tcW w:w="44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2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35"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w:t>
            </w:r>
          </w:p>
        </w:tc>
        <w:tc>
          <w:tcPr>
            <w:tcW w:w="90" w:type="dxa"/>
            <w:tcBorders/>
            <w:shd w:fill="CCEEFF" w:val="clear"/>
            <w:vAlign w:val="center"/>
          </w:tcPr>
          <w:p>
            <w:pPr>
              <w:pStyle w:val="TableContents"/>
              <w:bidi w:val="0"/>
              <w:spacing w:before="0" w:after="283"/>
              <w:jc w:val="left"/>
              <w:rPr/>
            </w:pPr>
            <w:r>
              <w:rPr/>
              <w:t> </w:t>
            </w:r>
          </w:p>
        </w:tc>
        <w:tc>
          <w:tcPr>
            <w:tcW w:w="34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Gaoxin (Xinshi) District Liyushan North Rd. Hemeijia Bakery</w:t>
            </w:r>
          </w:p>
        </w:tc>
        <w:tc>
          <w:tcPr>
            <w:tcW w:w="90" w:type="dxa"/>
            <w:tcBorders/>
            <w:shd w:fill="CCEEFF" w:val="clear"/>
            <w:vAlign w:val="center"/>
          </w:tcPr>
          <w:p>
            <w:pPr>
              <w:pStyle w:val="TableContents"/>
              <w:bidi w:val="0"/>
              <w:spacing w:before="0" w:after="283"/>
              <w:jc w:val="left"/>
              <w:rPr/>
            </w:pPr>
            <w:r>
              <w:rPr/>
              <w:t> </w:t>
            </w:r>
          </w:p>
        </w:tc>
        <w:tc>
          <w:tcPr>
            <w:tcW w:w="18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Vanke Jincheng Huafu</w:t>
            </w:r>
          </w:p>
        </w:tc>
        <w:tc>
          <w:tcPr>
            <w:tcW w:w="90" w:type="dxa"/>
            <w:tcBorders/>
            <w:shd w:fill="CCEEFF" w:val="clear"/>
            <w:vAlign w:val="center"/>
          </w:tcPr>
          <w:p>
            <w:pPr>
              <w:pStyle w:val="TableContents"/>
              <w:bidi w:val="0"/>
              <w:spacing w:before="0" w:after="283"/>
              <w:jc w:val="left"/>
              <w:rPr/>
            </w:pPr>
            <w:r>
              <w:rPr/>
              <w:t> </w:t>
            </w:r>
          </w:p>
        </w:tc>
        <w:tc>
          <w:tcPr>
            <w:tcW w:w="44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2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35"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w:t>
            </w:r>
          </w:p>
        </w:tc>
        <w:tc>
          <w:tcPr>
            <w:tcW w:w="90" w:type="dxa"/>
            <w:tcBorders/>
            <w:shd w:fill="CCEEFF" w:val="clear"/>
            <w:vAlign w:val="center"/>
          </w:tcPr>
          <w:p>
            <w:pPr>
              <w:pStyle w:val="TableContents"/>
              <w:bidi w:val="0"/>
              <w:spacing w:before="0" w:after="283"/>
              <w:jc w:val="left"/>
              <w:rPr/>
            </w:pPr>
            <w:r>
              <w:rPr/>
              <w:t> </w:t>
            </w:r>
          </w:p>
        </w:tc>
        <w:tc>
          <w:tcPr>
            <w:tcW w:w="34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Tianshan District Jiefang North Rd. Chanson Coffee Bakery</w:t>
            </w:r>
          </w:p>
        </w:tc>
        <w:tc>
          <w:tcPr>
            <w:tcW w:w="90" w:type="dxa"/>
            <w:tcBorders/>
            <w:shd w:fill="CCEEFF" w:val="clear"/>
            <w:vAlign w:val="center"/>
          </w:tcPr>
          <w:p>
            <w:pPr>
              <w:pStyle w:val="TableContents"/>
              <w:bidi w:val="0"/>
              <w:spacing w:before="0" w:after="283"/>
              <w:jc w:val="left"/>
              <w:rPr/>
            </w:pPr>
            <w:r>
              <w:rPr/>
              <w:t> </w:t>
            </w:r>
          </w:p>
        </w:tc>
        <w:tc>
          <w:tcPr>
            <w:tcW w:w="18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Soul&amp;#9679;Song Wanyan Cheng</w:t>
            </w:r>
          </w:p>
        </w:tc>
        <w:tc>
          <w:tcPr>
            <w:tcW w:w="90" w:type="dxa"/>
            <w:tcBorders/>
            <w:shd w:fill="CCEEFF" w:val="clear"/>
            <w:vAlign w:val="center"/>
          </w:tcPr>
          <w:p>
            <w:pPr>
              <w:pStyle w:val="TableContents"/>
              <w:bidi w:val="0"/>
              <w:spacing w:before="0" w:after="283"/>
              <w:jc w:val="left"/>
              <w:rPr/>
            </w:pPr>
            <w:r>
              <w:rPr/>
              <w:t> </w:t>
            </w:r>
          </w:p>
        </w:tc>
        <w:tc>
          <w:tcPr>
            <w:tcW w:w="44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2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35"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w:t>
            </w:r>
          </w:p>
        </w:tc>
        <w:tc>
          <w:tcPr>
            <w:tcW w:w="90" w:type="dxa"/>
            <w:tcBorders/>
            <w:shd w:fill="CCEEFF" w:val="clear"/>
            <w:vAlign w:val="center"/>
          </w:tcPr>
          <w:p>
            <w:pPr>
              <w:pStyle w:val="TableContents"/>
              <w:bidi w:val="0"/>
              <w:spacing w:before="0" w:after="283"/>
              <w:jc w:val="left"/>
              <w:rPr/>
            </w:pPr>
            <w:r>
              <w:rPr/>
              <w:t> </w:t>
            </w:r>
          </w:p>
        </w:tc>
        <w:tc>
          <w:tcPr>
            <w:tcW w:w="34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Tianshan District Wenhua Rd. Chanson Coffee Bakery</w:t>
            </w:r>
          </w:p>
        </w:tc>
        <w:tc>
          <w:tcPr>
            <w:tcW w:w="90" w:type="dxa"/>
            <w:tcBorders/>
            <w:shd w:fill="CCEEFF" w:val="clear"/>
            <w:vAlign w:val="center"/>
          </w:tcPr>
          <w:p>
            <w:pPr>
              <w:pStyle w:val="TableContents"/>
              <w:bidi w:val="0"/>
              <w:spacing w:before="0" w:after="283"/>
              <w:jc w:val="left"/>
              <w:rPr/>
            </w:pPr>
            <w:r>
              <w:rPr/>
              <w:t> </w:t>
            </w:r>
          </w:p>
        </w:tc>
        <w:tc>
          <w:tcPr>
            <w:tcW w:w="18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Soul&amp;#9679;Song Wenhua Road</w:t>
            </w:r>
          </w:p>
        </w:tc>
        <w:tc>
          <w:tcPr>
            <w:tcW w:w="90" w:type="dxa"/>
            <w:tcBorders/>
            <w:shd w:fill="CCEEFF" w:val="clear"/>
            <w:vAlign w:val="center"/>
          </w:tcPr>
          <w:p>
            <w:pPr>
              <w:pStyle w:val="TableContents"/>
              <w:bidi w:val="0"/>
              <w:spacing w:before="0" w:after="283"/>
              <w:jc w:val="left"/>
              <w:rPr/>
            </w:pPr>
            <w:r>
              <w:rPr/>
              <w:t> </w:t>
            </w:r>
          </w:p>
        </w:tc>
        <w:tc>
          <w:tcPr>
            <w:tcW w:w="44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2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35"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w:t>
            </w:r>
          </w:p>
        </w:tc>
        <w:tc>
          <w:tcPr>
            <w:tcW w:w="90" w:type="dxa"/>
            <w:tcBorders/>
            <w:shd w:fill="CCEEFF" w:val="clear"/>
            <w:vAlign w:val="center"/>
          </w:tcPr>
          <w:p>
            <w:pPr>
              <w:pStyle w:val="TableContents"/>
              <w:bidi w:val="0"/>
              <w:spacing w:before="0" w:after="283"/>
              <w:jc w:val="left"/>
              <w:rPr/>
            </w:pPr>
            <w:r>
              <w:rPr/>
              <w:t> </w:t>
            </w:r>
          </w:p>
        </w:tc>
        <w:tc>
          <w:tcPr>
            <w:tcW w:w="34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Tianshan District Minzhu Rd. Heimeijie Coffee and Food</w:t>
            </w:r>
          </w:p>
        </w:tc>
        <w:tc>
          <w:tcPr>
            <w:tcW w:w="90" w:type="dxa"/>
            <w:tcBorders/>
            <w:shd w:fill="CCEEFF" w:val="clear"/>
            <w:vAlign w:val="center"/>
          </w:tcPr>
          <w:p>
            <w:pPr>
              <w:pStyle w:val="TableContents"/>
              <w:bidi w:val="0"/>
              <w:spacing w:before="0" w:after="283"/>
              <w:jc w:val="left"/>
              <w:rPr/>
            </w:pPr>
            <w:r>
              <w:rPr/>
              <w:t> </w:t>
            </w:r>
          </w:p>
        </w:tc>
        <w:tc>
          <w:tcPr>
            <w:tcW w:w="18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Soul&amp;#9679;Song Minzhu Road</w:t>
            </w:r>
          </w:p>
        </w:tc>
        <w:tc>
          <w:tcPr>
            <w:tcW w:w="90" w:type="dxa"/>
            <w:tcBorders/>
            <w:shd w:fill="CCEEFF" w:val="clear"/>
            <w:vAlign w:val="center"/>
          </w:tcPr>
          <w:p>
            <w:pPr>
              <w:pStyle w:val="TableContents"/>
              <w:bidi w:val="0"/>
              <w:spacing w:before="0" w:after="283"/>
              <w:jc w:val="left"/>
              <w:rPr/>
            </w:pPr>
            <w:r>
              <w:rPr/>
              <w:t> </w:t>
            </w:r>
          </w:p>
        </w:tc>
        <w:tc>
          <w:tcPr>
            <w:tcW w:w="44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2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35"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w:t>
            </w:r>
          </w:p>
        </w:tc>
        <w:tc>
          <w:tcPr>
            <w:tcW w:w="90" w:type="dxa"/>
            <w:tcBorders/>
            <w:shd w:fill="CCEEFF" w:val="clear"/>
            <w:vAlign w:val="center"/>
          </w:tcPr>
          <w:p>
            <w:pPr>
              <w:pStyle w:val="TableContents"/>
              <w:bidi w:val="0"/>
              <w:spacing w:before="0" w:after="283"/>
              <w:jc w:val="left"/>
              <w:rPr/>
            </w:pPr>
            <w:r>
              <w:rPr/>
              <w:t> </w:t>
            </w:r>
          </w:p>
        </w:tc>
        <w:tc>
          <w:tcPr>
            <w:tcW w:w="34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Tianshan District Cuiquan Rd. George Chanson Bakery</w:t>
            </w:r>
          </w:p>
        </w:tc>
        <w:tc>
          <w:tcPr>
            <w:tcW w:w="90" w:type="dxa"/>
            <w:tcBorders/>
            <w:shd w:fill="CCEEFF" w:val="clear"/>
            <w:vAlign w:val="center"/>
          </w:tcPr>
          <w:p>
            <w:pPr>
              <w:pStyle w:val="TableContents"/>
              <w:bidi w:val="0"/>
              <w:spacing w:before="0" w:after="283"/>
              <w:jc w:val="left"/>
              <w:rPr/>
            </w:pPr>
            <w:r>
              <w:rPr/>
              <w:t> </w:t>
            </w:r>
          </w:p>
        </w:tc>
        <w:tc>
          <w:tcPr>
            <w:tcW w:w="18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Vanke Tianshanli</w:t>
            </w:r>
          </w:p>
        </w:tc>
        <w:tc>
          <w:tcPr>
            <w:tcW w:w="90" w:type="dxa"/>
            <w:tcBorders/>
            <w:shd w:fill="CCEEFF" w:val="clear"/>
            <w:vAlign w:val="center"/>
          </w:tcPr>
          <w:p>
            <w:pPr>
              <w:pStyle w:val="TableContents"/>
              <w:bidi w:val="0"/>
              <w:spacing w:before="0" w:after="283"/>
              <w:jc w:val="left"/>
              <w:rPr/>
            </w:pPr>
            <w:r>
              <w:rPr/>
              <w:t> </w:t>
            </w:r>
          </w:p>
        </w:tc>
        <w:tc>
          <w:tcPr>
            <w:tcW w:w="44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2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35"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w:t>
            </w:r>
          </w:p>
        </w:tc>
        <w:tc>
          <w:tcPr>
            <w:tcW w:w="90" w:type="dxa"/>
            <w:tcBorders/>
            <w:shd w:fill="CCEEFF" w:val="clear"/>
            <w:vAlign w:val="center"/>
          </w:tcPr>
          <w:p>
            <w:pPr>
              <w:pStyle w:val="TableContents"/>
              <w:bidi w:val="0"/>
              <w:spacing w:before="0" w:after="283"/>
              <w:jc w:val="left"/>
              <w:rPr/>
            </w:pPr>
            <w:r>
              <w:rPr/>
              <w:t> </w:t>
            </w:r>
          </w:p>
        </w:tc>
        <w:tc>
          <w:tcPr>
            <w:tcW w:w="34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Tianshan District Cuiquan Rd. Coffee and Food</w:t>
            </w:r>
          </w:p>
        </w:tc>
        <w:tc>
          <w:tcPr>
            <w:tcW w:w="90" w:type="dxa"/>
            <w:tcBorders/>
            <w:shd w:fill="CCEEFF" w:val="clear"/>
            <w:vAlign w:val="center"/>
          </w:tcPr>
          <w:p>
            <w:pPr>
              <w:pStyle w:val="TableContents"/>
              <w:bidi w:val="0"/>
              <w:spacing w:before="0" w:after="283"/>
              <w:jc w:val="left"/>
              <w:rPr/>
            </w:pPr>
            <w:r>
              <w:rPr/>
              <w:t> </w:t>
            </w:r>
          </w:p>
        </w:tc>
        <w:tc>
          <w:tcPr>
            <w:tcW w:w="18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Soul&amp;#9679;Song Vanke Tianshanli</w:t>
            </w:r>
          </w:p>
        </w:tc>
        <w:tc>
          <w:tcPr>
            <w:tcW w:w="90" w:type="dxa"/>
            <w:tcBorders/>
            <w:shd w:fill="CCEEFF" w:val="clear"/>
            <w:vAlign w:val="center"/>
          </w:tcPr>
          <w:p>
            <w:pPr>
              <w:pStyle w:val="TableContents"/>
              <w:bidi w:val="0"/>
              <w:spacing w:before="0" w:after="283"/>
              <w:jc w:val="left"/>
              <w:rPr/>
            </w:pPr>
            <w:r>
              <w:rPr/>
              <w:t> </w:t>
            </w:r>
          </w:p>
        </w:tc>
        <w:tc>
          <w:tcPr>
            <w:tcW w:w="44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2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35"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w:t>
            </w:r>
          </w:p>
        </w:tc>
        <w:tc>
          <w:tcPr>
            <w:tcW w:w="90" w:type="dxa"/>
            <w:tcBorders/>
            <w:shd w:fill="CCEEFF" w:val="clear"/>
            <w:vAlign w:val="center"/>
          </w:tcPr>
          <w:p>
            <w:pPr>
              <w:pStyle w:val="TableContents"/>
              <w:bidi w:val="0"/>
              <w:spacing w:before="0" w:after="283"/>
              <w:jc w:val="left"/>
              <w:rPr/>
            </w:pPr>
            <w:r>
              <w:rPr/>
              <w:t> </w:t>
            </w:r>
          </w:p>
        </w:tc>
        <w:tc>
          <w:tcPr>
            <w:tcW w:w="34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Gaoxin (Xinshi) District Changchun North Rd. Chanson Coffee and Food</w:t>
            </w:r>
          </w:p>
        </w:tc>
        <w:tc>
          <w:tcPr>
            <w:tcW w:w="90" w:type="dxa"/>
            <w:tcBorders/>
            <w:shd w:fill="CCEEFF" w:val="clear"/>
            <w:vAlign w:val="center"/>
          </w:tcPr>
          <w:p>
            <w:pPr>
              <w:pStyle w:val="TableContents"/>
              <w:bidi w:val="0"/>
              <w:spacing w:before="0" w:after="283"/>
              <w:jc w:val="left"/>
              <w:rPr/>
            </w:pPr>
            <w:r>
              <w:rPr/>
              <w:t> </w:t>
            </w:r>
          </w:p>
        </w:tc>
        <w:tc>
          <w:tcPr>
            <w:tcW w:w="18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Soul&amp;#9679;Song Gaoxin Wanda</w:t>
            </w:r>
          </w:p>
        </w:tc>
        <w:tc>
          <w:tcPr>
            <w:tcW w:w="90" w:type="dxa"/>
            <w:tcBorders/>
            <w:shd w:fill="CCEEFF" w:val="clear"/>
            <w:vAlign w:val="center"/>
          </w:tcPr>
          <w:p>
            <w:pPr>
              <w:pStyle w:val="TableContents"/>
              <w:bidi w:val="0"/>
              <w:spacing w:before="0" w:after="283"/>
              <w:jc w:val="left"/>
              <w:rPr/>
            </w:pPr>
            <w:r>
              <w:rPr/>
              <w:t> </w:t>
            </w:r>
          </w:p>
        </w:tc>
        <w:tc>
          <w:tcPr>
            <w:tcW w:w="44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2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35"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90" w:type="dxa"/>
            <w:tcBorders/>
            <w:shd w:fill="CCEEFF" w:val="clear"/>
            <w:vAlign w:val="center"/>
          </w:tcPr>
          <w:p>
            <w:pPr>
              <w:pStyle w:val="TableContents"/>
              <w:bidi w:val="0"/>
              <w:spacing w:before="0" w:after="283"/>
              <w:jc w:val="left"/>
              <w:rPr/>
            </w:pPr>
            <w:r>
              <w:rPr/>
              <w:t> </w:t>
            </w:r>
          </w:p>
        </w:tc>
        <w:tc>
          <w:tcPr>
            <w:tcW w:w="34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Tianshan District Wenhua Rd. Chanson Coffee and Food</w:t>
            </w:r>
          </w:p>
        </w:tc>
        <w:tc>
          <w:tcPr>
            <w:tcW w:w="90" w:type="dxa"/>
            <w:tcBorders/>
            <w:shd w:fill="CCEEFF" w:val="clear"/>
            <w:vAlign w:val="center"/>
          </w:tcPr>
          <w:p>
            <w:pPr>
              <w:pStyle w:val="TableContents"/>
              <w:bidi w:val="0"/>
              <w:spacing w:before="0" w:after="283"/>
              <w:jc w:val="left"/>
              <w:rPr/>
            </w:pPr>
            <w:r>
              <w:rPr/>
              <w:t> </w:t>
            </w:r>
          </w:p>
        </w:tc>
        <w:tc>
          <w:tcPr>
            <w:tcW w:w="18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Soul&amp;#9679;Song Mali Hospital</w:t>
            </w:r>
          </w:p>
        </w:tc>
        <w:tc>
          <w:tcPr>
            <w:tcW w:w="90" w:type="dxa"/>
            <w:tcBorders/>
            <w:shd w:fill="CCEEFF" w:val="clear"/>
            <w:vAlign w:val="center"/>
          </w:tcPr>
          <w:p>
            <w:pPr>
              <w:pStyle w:val="TableContents"/>
              <w:bidi w:val="0"/>
              <w:spacing w:before="0" w:after="283"/>
              <w:jc w:val="left"/>
              <w:rPr/>
            </w:pPr>
            <w:r>
              <w:rPr/>
              <w:t> </w:t>
            </w:r>
          </w:p>
        </w:tc>
        <w:tc>
          <w:tcPr>
            <w:tcW w:w="44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2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35"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w:t>
            </w:r>
          </w:p>
        </w:tc>
        <w:tc>
          <w:tcPr>
            <w:tcW w:w="90" w:type="dxa"/>
            <w:tcBorders/>
            <w:shd w:fill="CCEEFF" w:val="clear"/>
            <w:vAlign w:val="center"/>
          </w:tcPr>
          <w:p>
            <w:pPr>
              <w:pStyle w:val="TableContents"/>
              <w:bidi w:val="0"/>
              <w:spacing w:before="0" w:after="283"/>
              <w:jc w:val="left"/>
              <w:rPr/>
            </w:pPr>
            <w:r>
              <w:rPr/>
              <w:t> </w:t>
            </w:r>
          </w:p>
        </w:tc>
        <w:tc>
          <w:tcPr>
            <w:tcW w:w="34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Urumqi Economics and Technology Development District (Toutunhe) Chanson Coffee and Food</w:t>
            </w:r>
          </w:p>
        </w:tc>
        <w:tc>
          <w:tcPr>
            <w:tcW w:w="90" w:type="dxa"/>
            <w:tcBorders/>
            <w:shd w:fill="CCEEFF" w:val="clear"/>
            <w:vAlign w:val="center"/>
          </w:tcPr>
          <w:p>
            <w:pPr>
              <w:pStyle w:val="TableContents"/>
              <w:bidi w:val="0"/>
              <w:spacing w:before="0" w:after="283"/>
              <w:jc w:val="left"/>
              <w:rPr/>
            </w:pPr>
            <w:r>
              <w:rPr/>
              <w:t> </w:t>
            </w:r>
          </w:p>
        </w:tc>
        <w:tc>
          <w:tcPr>
            <w:tcW w:w="18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Soul&amp;#9679;Song Aidi Dajiang</w:t>
            </w:r>
          </w:p>
        </w:tc>
        <w:tc>
          <w:tcPr>
            <w:tcW w:w="90" w:type="dxa"/>
            <w:tcBorders/>
            <w:shd w:fill="CCEEFF" w:val="clear"/>
            <w:vAlign w:val="center"/>
          </w:tcPr>
          <w:p>
            <w:pPr>
              <w:pStyle w:val="TableContents"/>
              <w:bidi w:val="0"/>
              <w:spacing w:before="0" w:after="283"/>
              <w:jc w:val="left"/>
              <w:rPr/>
            </w:pPr>
            <w:r>
              <w:rPr/>
              <w:t> </w:t>
            </w:r>
          </w:p>
        </w:tc>
        <w:tc>
          <w:tcPr>
            <w:tcW w:w="44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90"/>
        <w:gridCol w:w="3417"/>
        <w:gridCol w:w="90"/>
        <w:gridCol w:w="1943"/>
        <w:gridCol w:w="90"/>
        <w:gridCol w:w="4300"/>
      </w:tblGrid>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w:t>
            </w:r>
          </w:p>
        </w:tc>
        <w:tc>
          <w:tcPr>
            <w:tcW w:w="90" w:type="dxa"/>
            <w:tcBorders/>
            <w:shd w:fill="CCEEFF" w:val="clear"/>
            <w:vAlign w:val="center"/>
          </w:tcPr>
          <w:p>
            <w:pPr>
              <w:pStyle w:val="TableContents"/>
              <w:bidi w:val="0"/>
              <w:spacing w:before="0" w:after="283"/>
              <w:jc w:val="left"/>
              <w:rPr/>
            </w:pPr>
            <w:r>
              <w:rPr/>
              <w:t> </w:t>
            </w:r>
          </w:p>
        </w:tc>
        <w:tc>
          <w:tcPr>
            <w:tcW w:w="34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Tianshan District Dongquan Rd. Hemeijia Chanson Bakery</w:t>
            </w:r>
          </w:p>
        </w:tc>
        <w:tc>
          <w:tcPr>
            <w:tcW w:w="90" w:type="dxa"/>
            <w:tcBorders/>
            <w:shd w:fill="CCEEFF" w:val="clear"/>
            <w:vAlign w:val="center"/>
          </w:tcPr>
          <w:p>
            <w:pPr>
              <w:pStyle w:val="TableContents"/>
              <w:bidi w:val="0"/>
              <w:spacing w:before="0" w:after="283"/>
              <w:jc w:val="left"/>
              <w:rPr/>
            </w:pPr>
            <w:r>
              <w:rPr/>
              <w:t> </w:t>
            </w:r>
          </w:p>
        </w:tc>
        <w:tc>
          <w:tcPr>
            <w:tcW w:w="19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Shijie Guanjun No. 1</w:t>
            </w:r>
          </w:p>
        </w:tc>
        <w:tc>
          <w:tcPr>
            <w:tcW w:w="90" w:type="dxa"/>
            <w:tcBorders/>
            <w:shd w:fill="CCEEFF" w:val="clear"/>
            <w:vAlign w:val="center"/>
          </w:tcPr>
          <w:p>
            <w:pPr>
              <w:pStyle w:val="TableContents"/>
              <w:bidi w:val="0"/>
              <w:spacing w:before="0" w:after="283"/>
              <w:jc w:val="left"/>
              <w:rPr/>
            </w:pPr>
            <w:r>
              <w:rPr/>
              <w:t> </w:t>
            </w:r>
          </w:p>
        </w:tc>
        <w:tc>
          <w:tcPr>
            <w:tcW w:w="43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1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00"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w:t>
            </w:r>
          </w:p>
        </w:tc>
        <w:tc>
          <w:tcPr>
            <w:tcW w:w="90" w:type="dxa"/>
            <w:tcBorders/>
            <w:shd w:fill="CCEEFF" w:val="clear"/>
            <w:vAlign w:val="center"/>
          </w:tcPr>
          <w:p>
            <w:pPr>
              <w:pStyle w:val="TableContents"/>
              <w:bidi w:val="0"/>
              <w:spacing w:before="0" w:after="283"/>
              <w:jc w:val="left"/>
              <w:rPr/>
            </w:pPr>
            <w:r>
              <w:rPr/>
              <w:t> </w:t>
            </w:r>
          </w:p>
        </w:tc>
        <w:tc>
          <w:tcPr>
            <w:tcW w:w="34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Tianshan District Dongquan Rd. Hemeijia Bakery</w:t>
            </w:r>
          </w:p>
        </w:tc>
        <w:tc>
          <w:tcPr>
            <w:tcW w:w="90" w:type="dxa"/>
            <w:tcBorders/>
            <w:shd w:fill="CCEEFF" w:val="clear"/>
            <w:vAlign w:val="center"/>
          </w:tcPr>
          <w:p>
            <w:pPr>
              <w:pStyle w:val="TableContents"/>
              <w:bidi w:val="0"/>
              <w:spacing w:before="0" w:after="283"/>
              <w:jc w:val="left"/>
              <w:rPr/>
            </w:pPr>
            <w:r>
              <w:rPr/>
              <w:t> </w:t>
            </w:r>
          </w:p>
        </w:tc>
        <w:tc>
          <w:tcPr>
            <w:tcW w:w="19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Shijie Guanjun No.2</w:t>
            </w:r>
          </w:p>
        </w:tc>
        <w:tc>
          <w:tcPr>
            <w:tcW w:w="90" w:type="dxa"/>
            <w:tcBorders/>
            <w:shd w:fill="CCEEFF" w:val="clear"/>
            <w:vAlign w:val="center"/>
          </w:tcPr>
          <w:p>
            <w:pPr>
              <w:pStyle w:val="TableContents"/>
              <w:bidi w:val="0"/>
              <w:spacing w:before="0" w:after="283"/>
              <w:jc w:val="left"/>
              <w:rPr/>
            </w:pPr>
            <w:r>
              <w:rPr/>
              <w:t> </w:t>
            </w:r>
          </w:p>
        </w:tc>
        <w:tc>
          <w:tcPr>
            <w:tcW w:w="43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1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00"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w:t>
            </w:r>
          </w:p>
        </w:tc>
        <w:tc>
          <w:tcPr>
            <w:tcW w:w="90" w:type="dxa"/>
            <w:tcBorders/>
            <w:shd w:fill="CCEEFF" w:val="clear"/>
            <w:vAlign w:val="center"/>
          </w:tcPr>
          <w:p>
            <w:pPr>
              <w:pStyle w:val="TableContents"/>
              <w:bidi w:val="0"/>
              <w:spacing w:before="0" w:after="283"/>
              <w:jc w:val="left"/>
              <w:rPr/>
            </w:pPr>
            <w:r>
              <w:rPr/>
              <w:t> </w:t>
            </w:r>
          </w:p>
        </w:tc>
        <w:tc>
          <w:tcPr>
            <w:tcW w:w="34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Gaoxin (Xinshi) District Changchun South Rd. Hemeijia Bakery</w:t>
            </w:r>
          </w:p>
        </w:tc>
        <w:tc>
          <w:tcPr>
            <w:tcW w:w="90" w:type="dxa"/>
            <w:tcBorders/>
            <w:shd w:fill="CCEEFF" w:val="clear"/>
            <w:vAlign w:val="center"/>
          </w:tcPr>
          <w:p>
            <w:pPr>
              <w:pStyle w:val="TableContents"/>
              <w:bidi w:val="0"/>
              <w:spacing w:before="0" w:after="283"/>
              <w:jc w:val="left"/>
              <w:rPr/>
            </w:pPr>
            <w:r>
              <w:rPr/>
              <w:t> </w:t>
            </w:r>
          </w:p>
        </w:tc>
        <w:tc>
          <w:tcPr>
            <w:tcW w:w="19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Meiju Phase Three</w:t>
            </w:r>
          </w:p>
        </w:tc>
        <w:tc>
          <w:tcPr>
            <w:tcW w:w="90" w:type="dxa"/>
            <w:tcBorders/>
            <w:shd w:fill="CCEEFF" w:val="clear"/>
            <w:vAlign w:val="center"/>
          </w:tcPr>
          <w:p>
            <w:pPr>
              <w:pStyle w:val="TableContents"/>
              <w:bidi w:val="0"/>
              <w:spacing w:before="0" w:after="283"/>
              <w:jc w:val="left"/>
              <w:rPr/>
            </w:pPr>
            <w:r>
              <w:rPr/>
              <w:t> </w:t>
            </w:r>
          </w:p>
        </w:tc>
        <w:tc>
          <w:tcPr>
            <w:tcW w:w="43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1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00"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w:t>
            </w:r>
          </w:p>
        </w:tc>
        <w:tc>
          <w:tcPr>
            <w:tcW w:w="90" w:type="dxa"/>
            <w:tcBorders/>
            <w:shd w:fill="CCEEFF" w:val="clear"/>
            <w:vAlign w:val="center"/>
          </w:tcPr>
          <w:p>
            <w:pPr>
              <w:pStyle w:val="TableContents"/>
              <w:bidi w:val="0"/>
              <w:spacing w:before="0" w:after="283"/>
              <w:jc w:val="left"/>
              <w:rPr/>
            </w:pPr>
            <w:r>
              <w:rPr/>
              <w:t> </w:t>
            </w:r>
          </w:p>
        </w:tc>
        <w:tc>
          <w:tcPr>
            <w:tcW w:w="34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Gaoxin (Xinshi) District Changsha Rd. Hemeijia Chanson Bakery</w:t>
            </w:r>
          </w:p>
        </w:tc>
        <w:tc>
          <w:tcPr>
            <w:tcW w:w="90" w:type="dxa"/>
            <w:tcBorders/>
            <w:shd w:fill="CCEEFF" w:val="clear"/>
            <w:vAlign w:val="center"/>
          </w:tcPr>
          <w:p>
            <w:pPr>
              <w:pStyle w:val="TableContents"/>
              <w:bidi w:val="0"/>
              <w:spacing w:before="0" w:after="283"/>
              <w:jc w:val="left"/>
              <w:rPr/>
            </w:pPr>
            <w:r>
              <w:rPr/>
              <w:t> </w:t>
            </w:r>
          </w:p>
        </w:tc>
        <w:tc>
          <w:tcPr>
            <w:tcW w:w="19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Zhongnan Shangyue Cheng</w:t>
            </w:r>
          </w:p>
        </w:tc>
        <w:tc>
          <w:tcPr>
            <w:tcW w:w="90" w:type="dxa"/>
            <w:tcBorders/>
            <w:shd w:fill="CCEEFF" w:val="clear"/>
            <w:vAlign w:val="center"/>
          </w:tcPr>
          <w:p>
            <w:pPr>
              <w:pStyle w:val="TableContents"/>
              <w:bidi w:val="0"/>
              <w:spacing w:before="0" w:after="283"/>
              <w:jc w:val="left"/>
              <w:rPr/>
            </w:pPr>
            <w:r>
              <w:rPr/>
              <w:t> </w:t>
            </w:r>
          </w:p>
        </w:tc>
        <w:tc>
          <w:tcPr>
            <w:tcW w:w="43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1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00"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27</w:t>
            </w:r>
          </w:p>
        </w:tc>
        <w:tc>
          <w:tcPr>
            <w:tcW w:w="90" w:type="dxa"/>
            <w:tcBorders/>
            <w:shd w:fill="CCEEFF" w:val="clear"/>
            <w:vAlign w:val="center"/>
          </w:tcPr>
          <w:p>
            <w:pPr>
              <w:pStyle w:val="TableContents"/>
              <w:bidi w:val="0"/>
              <w:spacing w:before="0" w:after="283"/>
              <w:jc w:val="left"/>
              <w:rPr/>
            </w:pPr>
            <w:r>
              <w:rPr/>
              <w:t> </w:t>
            </w:r>
          </w:p>
        </w:tc>
        <w:tc>
          <w:tcPr>
            <w:tcW w:w="34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Gaoxin (Xinshi) District Yingbin Rd. Hemeijia George Chanson Bakery</w:t>
            </w:r>
          </w:p>
        </w:tc>
        <w:tc>
          <w:tcPr>
            <w:tcW w:w="90" w:type="dxa"/>
            <w:tcBorders/>
            <w:shd w:fill="CCEEFF" w:val="clear"/>
            <w:vAlign w:val="center"/>
          </w:tcPr>
          <w:p>
            <w:pPr>
              <w:pStyle w:val="TableContents"/>
              <w:bidi w:val="0"/>
              <w:spacing w:before="0" w:after="283"/>
              <w:jc w:val="left"/>
              <w:rPr/>
            </w:pPr>
            <w:r>
              <w:rPr/>
              <w:t> </w:t>
            </w:r>
          </w:p>
        </w:tc>
        <w:tc>
          <w:tcPr>
            <w:tcW w:w="19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Laiyin Zhuangyuan</w:t>
            </w:r>
          </w:p>
        </w:tc>
        <w:tc>
          <w:tcPr>
            <w:tcW w:w="90" w:type="dxa"/>
            <w:tcBorders/>
            <w:shd w:fill="CCEEFF" w:val="clear"/>
            <w:vAlign w:val="center"/>
          </w:tcPr>
          <w:p>
            <w:pPr>
              <w:pStyle w:val="TableContents"/>
              <w:bidi w:val="0"/>
              <w:spacing w:before="0" w:after="283"/>
              <w:jc w:val="left"/>
              <w:rPr/>
            </w:pPr>
            <w:r>
              <w:rPr/>
              <w:t> </w:t>
            </w:r>
          </w:p>
        </w:tc>
        <w:tc>
          <w:tcPr>
            <w:tcW w:w="43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1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00"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w:t>
            </w:r>
          </w:p>
        </w:tc>
        <w:tc>
          <w:tcPr>
            <w:tcW w:w="90" w:type="dxa"/>
            <w:tcBorders/>
            <w:shd w:fill="CCEEFF" w:val="clear"/>
            <w:vAlign w:val="center"/>
          </w:tcPr>
          <w:p>
            <w:pPr>
              <w:pStyle w:val="TableContents"/>
              <w:bidi w:val="0"/>
              <w:spacing w:before="0" w:after="283"/>
              <w:jc w:val="left"/>
              <w:rPr/>
            </w:pPr>
            <w:r>
              <w:rPr/>
              <w:t> </w:t>
            </w:r>
          </w:p>
        </w:tc>
        <w:tc>
          <w:tcPr>
            <w:tcW w:w="34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Gaoxin (Xinshi) District Suzhou East Rd. Hemeijia Chanson Bakery</w:t>
            </w:r>
          </w:p>
        </w:tc>
        <w:tc>
          <w:tcPr>
            <w:tcW w:w="90" w:type="dxa"/>
            <w:tcBorders/>
            <w:shd w:fill="CCEEFF" w:val="clear"/>
            <w:vAlign w:val="center"/>
          </w:tcPr>
          <w:p>
            <w:pPr>
              <w:pStyle w:val="TableContents"/>
              <w:bidi w:val="0"/>
              <w:spacing w:before="0" w:after="283"/>
              <w:jc w:val="left"/>
              <w:rPr/>
            </w:pPr>
            <w:r>
              <w:rPr/>
              <w:t> </w:t>
            </w:r>
          </w:p>
        </w:tc>
        <w:tc>
          <w:tcPr>
            <w:tcW w:w="19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Xinzhou City Garden</w:t>
            </w:r>
          </w:p>
        </w:tc>
        <w:tc>
          <w:tcPr>
            <w:tcW w:w="90" w:type="dxa"/>
            <w:tcBorders/>
            <w:shd w:fill="CCEEFF" w:val="clear"/>
            <w:vAlign w:val="center"/>
          </w:tcPr>
          <w:p>
            <w:pPr>
              <w:pStyle w:val="TableContents"/>
              <w:bidi w:val="0"/>
              <w:spacing w:before="0" w:after="283"/>
              <w:jc w:val="left"/>
              <w:rPr/>
            </w:pPr>
            <w:r>
              <w:rPr/>
              <w:t> </w:t>
            </w:r>
          </w:p>
        </w:tc>
        <w:tc>
          <w:tcPr>
            <w:tcW w:w="43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1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00"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w:t>
            </w:r>
          </w:p>
        </w:tc>
        <w:tc>
          <w:tcPr>
            <w:tcW w:w="90" w:type="dxa"/>
            <w:tcBorders/>
            <w:shd w:fill="CCEEFF" w:val="clear"/>
            <w:vAlign w:val="center"/>
          </w:tcPr>
          <w:p>
            <w:pPr>
              <w:pStyle w:val="TableContents"/>
              <w:bidi w:val="0"/>
              <w:spacing w:before="0" w:after="283"/>
              <w:jc w:val="left"/>
              <w:rPr/>
            </w:pPr>
            <w:r>
              <w:rPr/>
              <w:t> </w:t>
            </w:r>
          </w:p>
        </w:tc>
        <w:tc>
          <w:tcPr>
            <w:tcW w:w="34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Tianshan District Dawan South Rd. Hemeijia George Chanson Bakery</w:t>
            </w:r>
          </w:p>
        </w:tc>
        <w:tc>
          <w:tcPr>
            <w:tcW w:w="90" w:type="dxa"/>
            <w:tcBorders/>
            <w:shd w:fill="CCEEFF" w:val="clear"/>
            <w:vAlign w:val="center"/>
          </w:tcPr>
          <w:p>
            <w:pPr>
              <w:pStyle w:val="TableContents"/>
              <w:bidi w:val="0"/>
              <w:spacing w:before="0" w:after="283"/>
              <w:jc w:val="left"/>
              <w:rPr/>
            </w:pPr>
            <w:r>
              <w:rPr/>
              <w:t> </w:t>
            </w:r>
          </w:p>
        </w:tc>
        <w:tc>
          <w:tcPr>
            <w:tcW w:w="19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Tianshan Vanke</w:t>
            </w:r>
          </w:p>
        </w:tc>
        <w:tc>
          <w:tcPr>
            <w:tcW w:w="90" w:type="dxa"/>
            <w:tcBorders/>
            <w:shd w:fill="CCEEFF" w:val="clear"/>
            <w:vAlign w:val="center"/>
          </w:tcPr>
          <w:p>
            <w:pPr>
              <w:pStyle w:val="TableContents"/>
              <w:bidi w:val="0"/>
              <w:spacing w:before="0" w:after="283"/>
              <w:jc w:val="left"/>
              <w:rPr/>
            </w:pPr>
            <w:r>
              <w:rPr/>
              <w:t> </w:t>
            </w:r>
          </w:p>
        </w:tc>
        <w:tc>
          <w:tcPr>
            <w:tcW w:w="43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1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00"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30</w:t>
            </w:r>
          </w:p>
        </w:tc>
        <w:tc>
          <w:tcPr>
            <w:tcW w:w="90" w:type="dxa"/>
            <w:tcBorders/>
            <w:shd w:fill="CCEEFF" w:val="clear"/>
            <w:vAlign w:val="center"/>
          </w:tcPr>
          <w:p>
            <w:pPr>
              <w:pStyle w:val="TableContents"/>
              <w:bidi w:val="0"/>
              <w:spacing w:before="0" w:after="283"/>
              <w:jc w:val="left"/>
              <w:rPr/>
            </w:pPr>
            <w:r>
              <w:rPr/>
              <w:t> </w:t>
            </w:r>
          </w:p>
        </w:tc>
        <w:tc>
          <w:tcPr>
            <w:tcW w:w="34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Shuimogou District Fengxiang Street Hemeijia George Chanson Bakery</w:t>
            </w:r>
          </w:p>
        </w:tc>
        <w:tc>
          <w:tcPr>
            <w:tcW w:w="90" w:type="dxa"/>
            <w:tcBorders/>
            <w:shd w:fill="CCEEFF" w:val="clear"/>
            <w:vAlign w:val="center"/>
          </w:tcPr>
          <w:p>
            <w:pPr>
              <w:pStyle w:val="TableContents"/>
              <w:bidi w:val="0"/>
              <w:spacing w:before="0" w:after="283"/>
              <w:jc w:val="left"/>
              <w:rPr/>
            </w:pPr>
            <w:r>
              <w:rPr/>
              <w:t> </w:t>
            </w:r>
          </w:p>
        </w:tc>
        <w:tc>
          <w:tcPr>
            <w:tcW w:w="19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Zijin Hui</w:t>
            </w:r>
          </w:p>
        </w:tc>
        <w:tc>
          <w:tcPr>
            <w:tcW w:w="90" w:type="dxa"/>
            <w:tcBorders/>
            <w:shd w:fill="CCEEFF" w:val="clear"/>
            <w:vAlign w:val="center"/>
          </w:tcPr>
          <w:p>
            <w:pPr>
              <w:pStyle w:val="TableContents"/>
              <w:bidi w:val="0"/>
              <w:spacing w:before="0" w:after="283"/>
              <w:jc w:val="left"/>
              <w:rPr/>
            </w:pPr>
            <w:r>
              <w:rPr/>
              <w:t> </w:t>
            </w:r>
          </w:p>
        </w:tc>
        <w:tc>
          <w:tcPr>
            <w:tcW w:w="43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Same as above </w:t>
            </w:r>
          </w:p>
        </w:tc>
      </w:tr>
      <w:tr>
        <w:trPr/>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1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00"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w:t>
            </w:r>
          </w:p>
        </w:tc>
        <w:tc>
          <w:tcPr>
            <w:tcW w:w="90" w:type="dxa"/>
            <w:tcBorders/>
            <w:shd w:fill="CCEEFF" w:val="clear"/>
            <w:vAlign w:val="center"/>
          </w:tcPr>
          <w:p>
            <w:pPr>
              <w:pStyle w:val="TableContents"/>
              <w:bidi w:val="0"/>
              <w:spacing w:before="0" w:after="283"/>
              <w:jc w:val="left"/>
              <w:rPr/>
            </w:pPr>
            <w:r>
              <w:rPr/>
              <w:t> </w:t>
            </w:r>
          </w:p>
        </w:tc>
        <w:tc>
          <w:tcPr>
            <w:tcW w:w="34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Shuimogou District Fengxiang Street Hemeijia Song Coffee and Food Shop</w:t>
            </w:r>
          </w:p>
        </w:tc>
        <w:tc>
          <w:tcPr>
            <w:tcW w:w="90" w:type="dxa"/>
            <w:tcBorders/>
            <w:shd w:fill="CCEEFF" w:val="clear"/>
            <w:vAlign w:val="center"/>
          </w:tcPr>
          <w:p>
            <w:pPr>
              <w:pStyle w:val="TableContents"/>
              <w:bidi w:val="0"/>
              <w:spacing w:before="0" w:after="283"/>
              <w:jc w:val="left"/>
              <w:rPr/>
            </w:pPr>
            <w:r>
              <w:rPr/>
              <w:t> </w:t>
            </w:r>
          </w:p>
        </w:tc>
        <w:tc>
          <w:tcPr>
            <w:tcW w:w="19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Soul&amp;#9679;Song Zijin Hui</w:t>
            </w:r>
          </w:p>
        </w:tc>
        <w:tc>
          <w:tcPr>
            <w:tcW w:w="90" w:type="dxa"/>
            <w:tcBorders/>
            <w:shd w:fill="CCEEFF" w:val="clear"/>
            <w:vAlign w:val="center"/>
          </w:tcPr>
          <w:p>
            <w:pPr>
              <w:pStyle w:val="TableContents"/>
              <w:bidi w:val="0"/>
              <w:spacing w:before="0" w:after="283"/>
              <w:jc w:val="left"/>
              <w:rPr/>
            </w:pPr>
            <w:r>
              <w:rPr/>
              <w:t> </w:t>
            </w:r>
          </w:p>
        </w:tc>
        <w:tc>
          <w:tcPr>
            <w:tcW w:w="43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1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00"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w:t>
            </w:r>
          </w:p>
        </w:tc>
        <w:tc>
          <w:tcPr>
            <w:tcW w:w="90" w:type="dxa"/>
            <w:tcBorders/>
            <w:shd w:fill="CCEEFF" w:val="clear"/>
            <w:vAlign w:val="center"/>
          </w:tcPr>
          <w:p>
            <w:pPr>
              <w:pStyle w:val="TableContents"/>
              <w:bidi w:val="0"/>
              <w:spacing w:before="0" w:after="283"/>
              <w:jc w:val="left"/>
              <w:rPr/>
            </w:pPr>
            <w:r>
              <w:rPr/>
              <w:t> </w:t>
            </w:r>
          </w:p>
        </w:tc>
        <w:tc>
          <w:tcPr>
            <w:tcW w:w="34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Gaoxin (Xinshi) District Siping Rd.  Hemeijia George Chanson Bakery</w:t>
            </w:r>
          </w:p>
        </w:tc>
        <w:tc>
          <w:tcPr>
            <w:tcW w:w="90" w:type="dxa"/>
            <w:tcBorders/>
            <w:shd w:fill="CCEEFF" w:val="clear"/>
            <w:vAlign w:val="center"/>
          </w:tcPr>
          <w:p>
            <w:pPr>
              <w:pStyle w:val="TableContents"/>
              <w:bidi w:val="0"/>
              <w:spacing w:before="0" w:after="283"/>
              <w:jc w:val="left"/>
              <w:rPr/>
            </w:pPr>
            <w:r>
              <w:rPr/>
              <w:t> </w:t>
            </w:r>
          </w:p>
        </w:tc>
        <w:tc>
          <w:tcPr>
            <w:tcW w:w="19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Tongjia Peacock Mansion</w:t>
            </w:r>
          </w:p>
        </w:tc>
        <w:tc>
          <w:tcPr>
            <w:tcW w:w="90" w:type="dxa"/>
            <w:tcBorders/>
            <w:shd w:fill="CCEEFF" w:val="clear"/>
            <w:vAlign w:val="center"/>
          </w:tcPr>
          <w:p>
            <w:pPr>
              <w:pStyle w:val="TableContents"/>
              <w:bidi w:val="0"/>
              <w:spacing w:before="0" w:after="283"/>
              <w:jc w:val="left"/>
              <w:rPr/>
            </w:pPr>
            <w:r>
              <w:rPr/>
              <w:t> </w:t>
            </w:r>
          </w:p>
        </w:tc>
        <w:tc>
          <w:tcPr>
            <w:tcW w:w="43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1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00"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33</w:t>
            </w:r>
          </w:p>
        </w:tc>
        <w:tc>
          <w:tcPr>
            <w:tcW w:w="90" w:type="dxa"/>
            <w:tcBorders/>
            <w:shd w:fill="CCEEFF" w:val="clear"/>
            <w:vAlign w:val="center"/>
          </w:tcPr>
          <w:p>
            <w:pPr>
              <w:pStyle w:val="TableContents"/>
              <w:bidi w:val="0"/>
              <w:spacing w:before="0" w:after="283"/>
              <w:jc w:val="left"/>
              <w:rPr/>
            </w:pPr>
            <w:r>
              <w:rPr/>
              <w:t> </w:t>
            </w:r>
          </w:p>
        </w:tc>
        <w:tc>
          <w:tcPr>
            <w:tcW w:w="34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Shayibake District Karamay West Street George Chanson Bakery</w:t>
            </w:r>
          </w:p>
        </w:tc>
        <w:tc>
          <w:tcPr>
            <w:tcW w:w="90" w:type="dxa"/>
            <w:tcBorders/>
            <w:shd w:fill="CCEEFF" w:val="clear"/>
            <w:vAlign w:val="center"/>
          </w:tcPr>
          <w:p>
            <w:pPr>
              <w:pStyle w:val="TableContents"/>
              <w:bidi w:val="0"/>
              <w:spacing w:before="0" w:after="283"/>
              <w:jc w:val="left"/>
              <w:rPr/>
            </w:pPr>
            <w:r>
              <w:rPr/>
              <w:t> </w:t>
            </w:r>
          </w:p>
        </w:tc>
        <w:tc>
          <w:tcPr>
            <w:tcW w:w="19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Karamay West Street</w:t>
            </w:r>
          </w:p>
        </w:tc>
        <w:tc>
          <w:tcPr>
            <w:tcW w:w="90" w:type="dxa"/>
            <w:tcBorders/>
            <w:shd w:fill="CCEEFF" w:val="clear"/>
            <w:vAlign w:val="center"/>
          </w:tcPr>
          <w:p>
            <w:pPr>
              <w:pStyle w:val="TableContents"/>
              <w:bidi w:val="0"/>
              <w:spacing w:before="0" w:after="283"/>
              <w:jc w:val="left"/>
              <w:rPr/>
            </w:pPr>
            <w:r>
              <w:rPr/>
              <w:t> </w:t>
            </w:r>
          </w:p>
        </w:tc>
        <w:tc>
          <w:tcPr>
            <w:tcW w:w="43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1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00"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34</w:t>
            </w:r>
          </w:p>
        </w:tc>
        <w:tc>
          <w:tcPr>
            <w:tcW w:w="90" w:type="dxa"/>
            <w:tcBorders/>
            <w:shd w:fill="CCEEFF" w:val="clear"/>
            <w:vAlign w:val="center"/>
          </w:tcPr>
          <w:p>
            <w:pPr>
              <w:pStyle w:val="TableContents"/>
              <w:bidi w:val="0"/>
              <w:spacing w:before="0" w:after="283"/>
              <w:jc w:val="left"/>
              <w:rPr/>
            </w:pPr>
            <w:r>
              <w:rPr/>
              <w:t> </w:t>
            </w:r>
          </w:p>
        </w:tc>
        <w:tc>
          <w:tcPr>
            <w:tcW w:w="34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Shayibake District, Altay Rd. , Hemeijia George Chanson Bakery</w:t>
            </w:r>
          </w:p>
        </w:tc>
        <w:tc>
          <w:tcPr>
            <w:tcW w:w="90" w:type="dxa"/>
            <w:tcBorders/>
            <w:shd w:fill="CCEEFF" w:val="clear"/>
            <w:vAlign w:val="center"/>
          </w:tcPr>
          <w:p>
            <w:pPr>
              <w:pStyle w:val="TableContents"/>
              <w:bidi w:val="0"/>
              <w:spacing w:before="0" w:after="283"/>
              <w:jc w:val="left"/>
              <w:rPr/>
            </w:pPr>
            <w:r>
              <w:rPr/>
              <w:t> </w:t>
            </w:r>
          </w:p>
        </w:tc>
        <w:tc>
          <w:tcPr>
            <w:tcW w:w="19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Jiaheyuan</w:t>
            </w:r>
          </w:p>
        </w:tc>
        <w:tc>
          <w:tcPr>
            <w:tcW w:w="90" w:type="dxa"/>
            <w:tcBorders/>
            <w:shd w:fill="CCEEFF" w:val="clear"/>
            <w:vAlign w:val="center"/>
          </w:tcPr>
          <w:p>
            <w:pPr>
              <w:pStyle w:val="TableContents"/>
              <w:bidi w:val="0"/>
              <w:spacing w:before="0" w:after="283"/>
              <w:jc w:val="left"/>
              <w:rPr/>
            </w:pPr>
            <w:r>
              <w:rPr/>
              <w:t> </w:t>
            </w:r>
          </w:p>
        </w:tc>
        <w:tc>
          <w:tcPr>
            <w:tcW w:w="43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1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00"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w:t>
            </w:r>
          </w:p>
        </w:tc>
        <w:tc>
          <w:tcPr>
            <w:tcW w:w="90" w:type="dxa"/>
            <w:tcBorders/>
            <w:shd w:fill="CCEEFF" w:val="clear"/>
            <w:vAlign w:val="center"/>
          </w:tcPr>
          <w:p>
            <w:pPr>
              <w:pStyle w:val="TableContents"/>
              <w:bidi w:val="0"/>
              <w:spacing w:before="0" w:after="283"/>
              <w:jc w:val="left"/>
              <w:rPr/>
            </w:pPr>
            <w:r>
              <w:rPr/>
              <w:t> </w:t>
            </w:r>
          </w:p>
        </w:tc>
        <w:tc>
          <w:tcPr>
            <w:tcW w:w="34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Shayibake District, Yangtze River Rd., Hemeijia Chanson Bakery</w:t>
            </w:r>
          </w:p>
        </w:tc>
        <w:tc>
          <w:tcPr>
            <w:tcW w:w="90" w:type="dxa"/>
            <w:tcBorders/>
            <w:shd w:fill="CCEEFF" w:val="clear"/>
            <w:vAlign w:val="center"/>
          </w:tcPr>
          <w:p>
            <w:pPr>
              <w:pStyle w:val="TableContents"/>
              <w:bidi w:val="0"/>
              <w:spacing w:before="0" w:after="283"/>
              <w:jc w:val="left"/>
              <w:rPr/>
            </w:pPr>
            <w:r>
              <w:rPr/>
              <w:t> </w:t>
            </w:r>
          </w:p>
        </w:tc>
        <w:tc>
          <w:tcPr>
            <w:tcW w:w="19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Yangtze River Road</w:t>
            </w:r>
          </w:p>
        </w:tc>
        <w:tc>
          <w:tcPr>
            <w:tcW w:w="90" w:type="dxa"/>
            <w:tcBorders/>
            <w:shd w:fill="CCEEFF" w:val="clear"/>
            <w:vAlign w:val="center"/>
          </w:tcPr>
          <w:p>
            <w:pPr>
              <w:pStyle w:val="TableContents"/>
              <w:bidi w:val="0"/>
              <w:spacing w:before="0" w:after="283"/>
              <w:jc w:val="left"/>
              <w:rPr/>
            </w:pPr>
            <w:r>
              <w:rPr/>
              <w:t> </w:t>
            </w:r>
          </w:p>
        </w:tc>
        <w:tc>
          <w:tcPr>
            <w:tcW w:w="43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1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00"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36</w:t>
            </w:r>
          </w:p>
        </w:tc>
        <w:tc>
          <w:tcPr>
            <w:tcW w:w="90" w:type="dxa"/>
            <w:tcBorders/>
            <w:shd w:fill="CCEEFF" w:val="clear"/>
            <w:vAlign w:val="center"/>
          </w:tcPr>
          <w:p>
            <w:pPr>
              <w:pStyle w:val="TableContents"/>
              <w:bidi w:val="0"/>
              <w:spacing w:before="0" w:after="283"/>
              <w:jc w:val="left"/>
              <w:rPr/>
            </w:pPr>
            <w:r>
              <w:rPr/>
              <w:t> </w:t>
            </w:r>
          </w:p>
        </w:tc>
        <w:tc>
          <w:tcPr>
            <w:tcW w:w="34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Gaoxin (Xinshi) District Hebei East Rd. George Chanson Hemeijia Bakery</w:t>
            </w:r>
          </w:p>
        </w:tc>
        <w:tc>
          <w:tcPr>
            <w:tcW w:w="90" w:type="dxa"/>
            <w:tcBorders/>
            <w:shd w:fill="CCEEFF" w:val="clear"/>
            <w:vAlign w:val="center"/>
          </w:tcPr>
          <w:p>
            <w:pPr>
              <w:pStyle w:val="TableContents"/>
              <w:bidi w:val="0"/>
              <w:spacing w:before="0" w:after="283"/>
              <w:jc w:val="left"/>
              <w:rPr/>
            </w:pPr>
            <w:r>
              <w:rPr/>
              <w:t> </w:t>
            </w:r>
          </w:p>
        </w:tc>
        <w:tc>
          <w:tcPr>
            <w:tcW w:w="19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Kangcheng Golf</w:t>
            </w:r>
          </w:p>
        </w:tc>
        <w:tc>
          <w:tcPr>
            <w:tcW w:w="90" w:type="dxa"/>
            <w:tcBorders/>
            <w:shd w:fill="CCEEFF" w:val="clear"/>
            <w:vAlign w:val="center"/>
          </w:tcPr>
          <w:p>
            <w:pPr>
              <w:pStyle w:val="TableContents"/>
              <w:bidi w:val="0"/>
              <w:spacing w:before="0" w:after="283"/>
              <w:jc w:val="left"/>
              <w:rPr/>
            </w:pPr>
            <w:r>
              <w:rPr/>
              <w:t> </w:t>
            </w:r>
          </w:p>
        </w:tc>
        <w:tc>
          <w:tcPr>
            <w:tcW w:w="43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1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00"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37</w:t>
            </w:r>
          </w:p>
        </w:tc>
        <w:tc>
          <w:tcPr>
            <w:tcW w:w="90" w:type="dxa"/>
            <w:tcBorders/>
            <w:shd w:fill="CCEEFF" w:val="clear"/>
            <w:vAlign w:val="center"/>
          </w:tcPr>
          <w:p>
            <w:pPr>
              <w:pStyle w:val="TableContents"/>
              <w:bidi w:val="0"/>
              <w:spacing w:before="0" w:after="283"/>
              <w:jc w:val="left"/>
              <w:rPr/>
            </w:pPr>
            <w:r>
              <w:rPr/>
              <w:t> </w:t>
            </w:r>
          </w:p>
        </w:tc>
        <w:tc>
          <w:tcPr>
            <w:tcW w:w="34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Tianshan District, Zhongqiao Second Alley, Meijia Song Coffee and Food Shop</w:t>
            </w:r>
          </w:p>
        </w:tc>
        <w:tc>
          <w:tcPr>
            <w:tcW w:w="90" w:type="dxa"/>
            <w:tcBorders/>
            <w:shd w:fill="CCEEFF" w:val="clear"/>
            <w:vAlign w:val="center"/>
          </w:tcPr>
          <w:p>
            <w:pPr>
              <w:pStyle w:val="TableContents"/>
              <w:bidi w:val="0"/>
              <w:spacing w:before="0" w:after="283"/>
              <w:jc w:val="left"/>
              <w:rPr/>
            </w:pPr>
            <w:r>
              <w:rPr/>
              <w:t> </w:t>
            </w:r>
          </w:p>
        </w:tc>
        <w:tc>
          <w:tcPr>
            <w:tcW w:w="19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Soul&amp;#9679;Song Zhongqiao Second Alley</w:t>
            </w:r>
          </w:p>
        </w:tc>
        <w:tc>
          <w:tcPr>
            <w:tcW w:w="90" w:type="dxa"/>
            <w:tcBorders/>
            <w:shd w:fill="CCEEFF" w:val="clear"/>
            <w:vAlign w:val="center"/>
          </w:tcPr>
          <w:p>
            <w:pPr>
              <w:pStyle w:val="TableContents"/>
              <w:bidi w:val="0"/>
              <w:spacing w:before="0" w:after="283"/>
              <w:jc w:val="left"/>
              <w:rPr/>
            </w:pPr>
            <w:r>
              <w:rPr/>
              <w:t> </w:t>
            </w:r>
          </w:p>
        </w:tc>
        <w:tc>
          <w:tcPr>
            <w:tcW w:w="43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1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00"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38</w:t>
            </w:r>
          </w:p>
        </w:tc>
        <w:tc>
          <w:tcPr>
            <w:tcW w:w="90" w:type="dxa"/>
            <w:tcBorders/>
            <w:shd w:fill="CCEEFF" w:val="clear"/>
            <w:vAlign w:val="center"/>
          </w:tcPr>
          <w:p>
            <w:pPr>
              <w:pStyle w:val="TableContents"/>
              <w:bidi w:val="0"/>
              <w:spacing w:before="0" w:after="283"/>
              <w:jc w:val="left"/>
              <w:rPr/>
            </w:pPr>
            <w:r>
              <w:rPr/>
              <w:t> </w:t>
            </w:r>
          </w:p>
        </w:tc>
        <w:tc>
          <w:tcPr>
            <w:tcW w:w="34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Gaoxin (Xinshi) District Kashi East Rd. Chanson Hemeijia Bakery</w:t>
            </w:r>
          </w:p>
        </w:tc>
        <w:tc>
          <w:tcPr>
            <w:tcW w:w="90" w:type="dxa"/>
            <w:tcBorders/>
            <w:shd w:fill="CCEEFF" w:val="clear"/>
            <w:vAlign w:val="center"/>
          </w:tcPr>
          <w:p>
            <w:pPr>
              <w:pStyle w:val="TableContents"/>
              <w:bidi w:val="0"/>
              <w:spacing w:before="0" w:after="283"/>
              <w:jc w:val="left"/>
              <w:rPr/>
            </w:pPr>
            <w:r>
              <w:rPr/>
              <w:t> </w:t>
            </w:r>
          </w:p>
        </w:tc>
        <w:tc>
          <w:tcPr>
            <w:tcW w:w="19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Kashi Road Wuyue</w:t>
            </w:r>
          </w:p>
        </w:tc>
        <w:tc>
          <w:tcPr>
            <w:tcW w:w="90" w:type="dxa"/>
            <w:tcBorders/>
            <w:shd w:fill="CCEEFF" w:val="clear"/>
            <w:vAlign w:val="center"/>
          </w:tcPr>
          <w:p>
            <w:pPr>
              <w:pStyle w:val="TableContents"/>
              <w:bidi w:val="0"/>
              <w:spacing w:before="0" w:after="283"/>
              <w:jc w:val="left"/>
              <w:rPr/>
            </w:pPr>
            <w:r>
              <w:rPr/>
              <w:t> </w:t>
            </w:r>
          </w:p>
        </w:tc>
        <w:tc>
          <w:tcPr>
            <w:tcW w:w="43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1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00"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39</w:t>
            </w:r>
          </w:p>
        </w:tc>
        <w:tc>
          <w:tcPr>
            <w:tcW w:w="90" w:type="dxa"/>
            <w:tcBorders/>
            <w:shd w:fill="CCEEFF" w:val="clear"/>
            <w:vAlign w:val="center"/>
          </w:tcPr>
          <w:p>
            <w:pPr>
              <w:pStyle w:val="TableContents"/>
              <w:bidi w:val="0"/>
              <w:spacing w:before="0" w:after="283"/>
              <w:jc w:val="left"/>
              <w:rPr/>
            </w:pPr>
            <w:r>
              <w:rPr/>
              <w:t> </w:t>
            </w:r>
          </w:p>
        </w:tc>
        <w:tc>
          <w:tcPr>
            <w:tcW w:w="34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Gaoxin (Xinshi) District Kashi East Rd. Hemeijia Song Coffee and Food Shop </w:t>
            </w:r>
          </w:p>
        </w:tc>
        <w:tc>
          <w:tcPr>
            <w:tcW w:w="90" w:type="dxa"/>
            <w:tcBorders/>
            <w:shd w:fill="CCEEFF" w:val="clear"/>
            <w:vAlign w:val="center"/>
          </w:tcPr>
          <w:p>
            <w:pPr>
              <w:pStyle w:val="TableContents"/>
              <w:bidi w:val="0"/>
              <w:spacing w:before="0" w:after="283"/>
              <w:jc w:val="left"/>
              <w:rPr/>
            </w:pPr>
            <w:r>
              <w:rPr/>
              <w:t> </w:t>
            </w:r>
          </w:p>
        </w:tc>
        <w:tc>
          <w:tcPr>
            <w:tcW w:w="19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Soul&amp;#9679;Song Kashi Road Wuyue</w:t>
            </w:r>
          </w:p>
        </w:tc>
        <w:tc>
          <w:tcPr>
            <w:tcW w:w="90" w:type="dxa"/>
            <w:tcBorders/>
            <w:shd w:fill="CCEEFF" w:val="clear"/>
            <w:vAlign w:val="center"/>
          </w:tcPr>
          <w:p>
            <w:pPr>
              <w:pStyle w:val="TableContents"/>
              <w:bidi w:val="0"/>
              <w:spacing w:before="0" w:after="283"/>
              <w:jc w:val="left"/>
              <w:rPr/>
            </w:pPr>
            <w:r>
              <w:rPr/>
              <w:t> </w:t>
            </w:r>
          </w:p>
        </w:tc>
        <w:tc>
          <w:tcPr>
            <w:tcW w:w="43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1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00"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40</w:t>
            </w:r>
          </w:p>
        </w:tc>
        <w:tc>
          <w:tcPr>
            <w:tcW w:w="90" w:type="dxa"/>
            <w:tcBorders/>
            <w:shd w:fill="CCEEFF" w:val="clear"/>
            <w:vAlign w:val="center"/>
          </w:tcPr>
          <w:p>
            <w:pPr>
              <w:pStyle w:val="TableContents"/>
              <w:bidi w:val="0"/>
              <w:spacing w:before="0" w:after="283"/>
              <w:jc w:val="left"/>
              <w:rPr/>
            </w:pPr>
            <w:r>
              <w:rPr/>
              <w:t> </w:t>
            </w:r>
          </w:p>
        </w:tc>
        <w:tc>
          <w:tcPr>
            <w:tcW w:w="34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Gaoxin (Xinshi) District Dongzhan Rd. Chansong Hemeijia Bakery</w:t>
            </w:r>
          </w:p>
        </w:tc>
        <w:tc>
          <w:tcPr>
            <w:tcW w:w="90" w:type="dxa"/>
            <w:tcBorders/>
            <w:shd w:fill="CCEEFF" w:val="clear"/>
            <w:vAlign w:val="center"/>
          </w:tcPr>
          <w:p>
            <w:pPr>
              <w:pStyle w:val="TableContents"/>
              <w:bidi w:val="0"/>
              <w:spacing w:before="0" w:after="283"/>
              <w:jc w:val="left"/>
              <w:rPr/>
            </w:pPr>
            <w:r>
              <w:rPr/>
              <w:t> </w:t>
            </w:r>
          </w:p>
        </w:tc>
        <w:tc>
          <w:tcPr>
            <w:tcW w:w="19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Wanke Four Seasons Flower City</w:t>
            </w:r>
          </w:p>
        </w:tc>
        <w:tc>
          <w:tcPr>
            <w:tcW w:w="90" w:type="dxa"/>
            <w:tcBorders/>
            <w:shd w:fill="CCEEFF" w:val="clear"/>
            <w:vAlign w:val="center"/>
          </w:tcPr>
          <w:p>
            <w:pPr>
              <w:pStyle w:val="TableContents"/>
              <w:bidi w:val="0"/>
              <w:spacing w:before="0" w:after="283"/>
              <w:jc w:val="left"/>
              <w:rPr/>
            </w:pPr>
            <w:r>
              <w:rPr/>
              <w:t> </w:t>
            </w:r>
          </w:p>
        </w:tc>
        <w:tc>
          <w:tcPr>
            <w:tcW w:w="43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1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00"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90" w:type="dxa"/>
            <w:tcBorders/>
            <w:shd w:fill="CCEEFF" w:val="clear"/>
            <w:vAlign w:val="center"/>
          </w:tcPr>
          <w:p>
            <w:pPr>
              <w:pStyle w:val="TableContents"/>
              <w:bidi w:val="0"/>
              <w:spacing w:before="0" w:after="283"/>
              <w:jc w:val="left"/>
              <w:rPr/>
            </w:pPr>
            <w:r>
              <w:rPr/>
              <w:t> </w:t>
            </w:r>
          </w:p>
        </w:tc>
        <w:tc>
          <w:tcPr>
            <w:tcW w:w="34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Urumqi Midong District Chanson Bakery</w:t>
            </w:r>
          </w:p>
        </w:tc>
        <w:tc>
          <w:tcPr>
            <w:tcW w:w="90" w:type="dxa"/>
            <w:tcBorders/>
            <w:shd w:fill="CCEEFF" w:val="clear"/>
            <w:vAlign w:val="center"/>
          </w:tcPr>
          <w:p>
            <w:pPr>
              <w:pStyle w:val="TableContents"/>
              <w:bidi w:val="0"/>
              <w:spacing w:before="0" w:after="283"/>
              <w:jc w:val="left"/>
              <w:rPr/>
            </w:pPr>
            <w:r>
              <w:rPr/>
              <w:t> </w:t>
            </w:r>
          </w:p>
        </w:tc>
        <w:tc>
          <w:tcPr>
            <w:tcW w:w="19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Midong Wuyue</w:t>
            </w:r>
          </w:p>
        </w:tc>
        <w:tc>
          <w:tcPr>
            <w:tcW w:w="90" w:type="dxa"/>
            <w:tcBorders/>
            <w:shd w:fill="CCEEFF" w:val="clear"/>
            <w:vAlign w:val="center"/>
          </w:tcPr>
          <w:p>
            <w:pPr>
              <w:pStyle w:val="TableContents"/>
              <w:bidi w:val="0"/>
              <w:spacing w:before="0" w:after="283"/>
              <w:jc w:val="left"/>
              <w:rPr/>
            </w:pPr>
            <w:r>
              <w:rPr/>
              <w:t> </w:t>
            </w:r>
          </w:p>
        </w:tc>
        <w:tc>
          <w:tcPr>
            <w:tcW w:w="43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1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00"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w:t>
            </w:r>
          </w:p>
        </w:tc>
        <w:tc>
          <w:tcPr>
            <w:tcW w:w="90" w:type="dxa"/>
            <w:tcBorders/>
            <w:shd w:fill="CCEEFF" w:val="clear"/>
            <w:vAlign w:val="center"/>
          </w:tcPr>
          <w:p>
            <w:pPr>
              <w:pStyle w:val="TableContents"/>
              <w:bidi w:val="0"/>
              <w:spacing w:before="0" w:after="283"/>
              <w:jc w:val="left"/>
              <w:rPr/>
            </w:pPr>
            <w:r>
              <w:rPr/>
              <w:t> </w:t>
            </w:r>
          </w:p>
        </w:tc>
        <w:tc>
          <w:tcPr>
            <w:tcW w:w="34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Gaoxin (Xinshi) District Changchun Middle Rd. George CHanson Bakery</w:t>
            </w:r>
          </w:p>
        </w:tc>
        <w:tc>
          <w:tcPr>
            <w:tcW w:w="90" w:type="dxa"/>
            <w:tcBorders/>
            <w:shd w:fill="CCEEFF" w:val="clear"/>
            <w:vAlign w:val="center"/>
          </w:tcPr>
          <w:p>
            <w:pPr>
              <w:pStyle w:val="TableContents"/>
              <w:bidi w:val="0"/>
              <w:spacing w:before="0" w:after="283"/>
              <w:jc w:val="left"/>
              <w:rPr/>
            </w:pPr>
            <w:r>
              <w:rPr/>
              <w:t> </w:t>
            </w:r>
          </w:p>
        </w:tc>
        <w:tc>
          <w:tcPr>
            <w:tcW w:w="19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Gaoxinli</w:t>
            </w:r>
          </w:p>
        </w:tc>
        <w:tc>
          <w:tcPr>
            <w:tcW w:w="90" w:type="dxa"/>
            <w:tcBorders/>
            <w:shd w:fill="CCEEFF" w:val="clear"/>
            <w:vAlign w:val="center"/>
          </w:tcPr>
          <w:p>
            <w:pPr>
              <w:pStyle w:val="TableContents"/>
              <w:bidi w:val="0"/>
              <w:spacing w:before="0" w:after="283"/>
              <w:jc w:val="left"/>
              <w:rPr/>
            </w:pPr>
            <w:r>
              <w:rPr/>
              <w:t> </w:t>
            </w:r>
          </w:p>
        </w:tc>
        <w:tc>
          <w:tcPr>
            <w:tcW w:w="43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1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00"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w:t>
            </w:r>
          </w:p>
        </w:tc>
        <w:tc>
          <w:tcPr>
            <w:tcW w:w="90" w:type="dxa"/>
            <w:tcBorders/>
            <w:shd w:fill="CCEEFF" w:val="clear"/>
            <w:vAlign w:val="center"/>
          </w:tcPr>
          <w:p>
            <w:pPr>
              <w:pStyle w:val="TableContents"/>
              <w:bidi w:val="0"/>
              <w:spacing w:before="0" w:after="283"/>
              <w:jc w:val="left"/>
              <w:rPr/>
            </w:pPr>
            <w:r>
              <w:rPr/>
              <w:t> </w:t>
            </w:r>
          </w:p>
        </w:tc>
        <w:tc>
          <w:tcPr>
            <w:tcW w:w="34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Gaoxin (Xinshi) Distroct Beijing North Rd. Chanson Meijia Bakery</w:t>
            </w:r>
          </w:p>
        </w:tc>
        <w:tc>
          <w:tcPr>
            <w:tcW w:w="90" w:type="dxa"/>
            <w:tcBorders/>
            <w:shd w:fill="CCEEFF" w:val="clear"/>
            <w:vAlign w:val="center"/>
          </w:tcPr>
          <w:p>
            <w:pPr>
              <w:pStyle w:val="TableContents"/>
              <w:bidi w:val="0"/>
              <w:spacing w:before="0" w:after="283"/>
              <w:jc w:val="left"/>
              <w:rPr/>
            </w:pPr>
            <w:r>
              <w:rPr/>
              <w:t> </w:t>
            </w:r>
          </w:p>
        </w:tc>
        <w:tc>
          <w:tcPr>
            <w:tcW w:w="19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Jiafengyuan</w:t>
            </w:r>
          </w:p>
        </w:tc>
        <w:tc>
          <w:tcPr>
            <w:tcW w:w="90" w:type="dxa"/>
            <w:tcBorders/>
            <w:shd w:fill="CCEEFF" w:val="clear"/>
            <w:vAlign w:val="center"/>
          </w:tcPr>
          <w:p>
            <w:pPr>
              <w:pStyle w:val="TableContents"/>
              <w:bidi w:val="0"/>
              <w:spacing w:before="0" w:after="283"/>
              <w:jc w:val="left"/>
              <w:rPr/>
            </w:pPr>
            <w:r>
              <w:rPr/>
              <w:t> </w:t>
            </w:r>
          </w:p>
        </w:tc>
        <w:tc>
          <w:tcPr>
            <w:tcW w:w="43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1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00"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w:t>
            </w:r>
          </w:p>
        </w:tc>
        <w:tc>
          <w:tcPr>
            <w:tcW w:w="90" w:type="dxa"/>
            <w:tcBorders/>
            <w:shd w:fill="CCEEFF" w:val="clear"/>
            <w:vAlign w:val="center"/>
          </w:tcPr>
          <w:p>
            <w:pPr>
              <w:pStyle w:val="TableContents"/>
              <w:bidi w:val="0"/>
              <w:spacing w:before="0" w:after="283"/>
              <w:jc w:val="left"/>
              <w:rPr/>
            </w:pPr>
            <w:r>
              <w:rPr/>
              <w:t> </w:t>
            </w:r>
          </w:p>
        </w:tc>
        <w:tc>
          <w:tcPr>
            <w:tcW w:w="34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Tianshan District Jianquan No.3 Rd. George Chanson Bakery</w:t>
            </w:r>
          </w:p>
        </w:tc>
        <w:tc>
          <w:tcPr>
            <w:tcW w:w="90" w:type="dxa"/>
            <w:tcBorders/>
            <w:shd w:fill="CCEEFF" w:val="clear"/>
            <w:vAlign w:val="center"/>
          </w:tcPr>
          <w:p>
            <w:pPr>
              <w:pStyle w:val="TableContents"/>
              <w:bidi w:val="0"/>
              <w:spacing w:before="0" w:after="283"/>
              <w:jc w:val="left"/>
              <w:rPr/>
            </w:pPr>
            <w:r>
              <w:rPr/>
              <w:t> </w:t>
            </w:r>
          </w:p>
        </w:tc>
        <w:tc>
          <w:tcPr>
            <w:tcW w:w="19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Riyue Xingguang</w:t>
            </w:r>
          </w:p>
        </w:tc>
        <w:tc>
          <w:tcPr>
            <w:tcW w:w="90" w:type="dxa"/>
            <w:tcBorders/>
            <w:shd w:fill="CCEEFF" w:val="clear"/>
            <w:vAlign w:val="center"/>
          </w:tcPr>
          <w:p>
            <w:pPr>
              <w:pStyle w:val="TableContents"/>
              <w:bidi w:val="0"/>
              <w:spacing w:before="0" w:after="283"/>
              <w:jc w:val="left"/>
              <w:rPr/>
            </w:pPr>
            <w:r>
              <w:rPr/>
              <w:t> </w:t>
            </w:r>
          </w:p>
        </w:tc>
        <w:tc>
          <w:tcPr>
            <w:tcW w:w="430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 of UFG - owned 100% by Ms. Hui Wang and operated under agreements among Ms. Hui Wang, this entity, and Xinjiang United Family</w:t>
            </w:r>
          </w:p>
        </w:tc>
      </w:tr>
      <w:tr>
        <w:trPr/>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1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00"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45</w:t>
            </w:r>
          </w:p>
        </w:tc>
        <w:tc>
          <w:tcPr>
            <w:tcW w:w="90" w:type="dxa"/>
            <w:tcBorders/>
            <w:shd w:fill="CCEEFF" w:val="clear"/>
            <w:vAlign w:val="center"/>
          </w:tcPr>
          <w:p>
            <w:pPr>
              <w:pStyle w:val="TableContents"/>
              <w:bidi w:val="0"/>
              <w:spacing w:before="0" w:after="283"/>
              <w:jc w:val="left"/>
              <w:rPr/>
            </w:pPr>
            <w:r>
              <w:rPr/>
              <w:t> </w:t>
            </w:r>
          </w:p>
        </w:tc>
        <w:tc>
          <w:tcPr>
            <w:tcW w:w="34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Urumqi Economics and Technology Development District George Chanson Bakery on Xuanwuhu Rd.</w:t>
            </w:r>
          </w:p>
        </w:tc>
        <w:tc>
          <w:tcPr>
            <w:tcW w:w="90" w:type="dxa"/>
            <w:tcBorders/>
            <w:shd w:fill="CCEEFF" w:val="clear"/>
            <w:vAlign w:val="center"/>
          </w:tcPr>
          <w:p>
            <w:pPr>
              <w:pStyle w:val="TableContents"/>
              <w:bidi w:val="0"/>
              <w:spacing w:before="0" w:after="283"/>
              <w:jc w:val="left"/>
              <w:rPr/>
            </w:pPr>
            <w:r>
              <w:rPr/>
              <w:t> </w:t>
            </w:r>
          </w:p>
        </w:tc>
        <w:tc>
          <w:tcPr>
            <w:tcW w:w="19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Economics Development Wanda</w:t>
            </w:r>
          </w:p>
        </w:tc>
        <w:tc>
          <w:tcPr>
            <w:tcW w:w="90" w:type="dxa"/>
            <w:tcBorders/>
            <w:shd w:fill="CCEEFF" w:val="clear"/>
            <w:vAlign w:val="center"/>
          </w:tcPr>
          <w:p>
            <w:pPr>
              <w:pStyle w:val="TableContents"/>
              <w:bidi w:val="0"/>
              <w:spacing w:before="0" w:after="283"/>
              <w:jc w:val="left"/>
              <w:rPr/>
            </w:pPr>
            <w:r>
              <w:rPr/>
              <w:t> </w:t>
            </w:r>
          </w:p>
        </w:tc>
        <w:tc>
          <w:tcPr>
            <w:tcW w:w="43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90"/>
        <w:gridCol w:w="3285"/>
        <w:gridCol w:w="90"/>
        <w:gridCol w:w="1396"/>
        <w:gridCol w:w="90"/>
        <w:gridCol w:w="4979"/>
      </w:tblGrid>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46</w:t>
            </w:r>
          </w:p>
        </w:tc>
        <w:tc>
          <w:tcPr>
            <w:tcW w:w="90" w:type="dxa"/>
            <w:tcBorders/>
            <w:shd w:fill="CCEEFF" w:val="clear"/>
            <w:vAlign w:val="center"/>
          </w:tcPr>
          <w:p>
            <w:pPr>
              <w:pStyle w:val="TableContents"/>
              <w:bidi w:val="0"/>
              <w:spacing w:before="0" w:after="283"/>
              <w:jc w:val="left"/>
              <w:rPr/>
            </w:pPr>
            <w:r>
              <w:rPr/>
              <w:t> </w:t>
            </w:r>
          </w:p>
        </w:tc>
        <w:tc>
          <w:tcPr>
            <w:tcW w:w="32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Xinshi District Suzhou East Rd. Chanson Bakery</w:t>
            </w:r>
          </w:p>
        </w:tc>
        <w:tc>
          <w:tcPr>
            <w:tcW w:w="90"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Baishang</w:t>
            </w:r>
          </w:p>
        </w:tc>
        <w:tc>
          <w:tcPr>
            <w:tcW w:w="90" w:type="dxa"/>
            <w:tcBorders/>
            <w:shd w:fill="CCEEFF" w:val="clear"/>
            <w:vAlign w:val="center"/>
          </w:tcPr>
          <w:p>
            <w:pPr>
              <w:pStyle w:val="TableContents"/>
              <w:bidi w:val="0"/>
              <w:spacing w:before="0" w:after="283"/>
              <w:jc w:val="left"/>
              <w:rPr/>
            </w:pPr>
            <w:r>
              <w:rPr/>
              <w:t> </w:t>
            </w:r>
          </w:p>
        </w:tc>
        <w:tc>
          <w:tcPr>
            <w:tcW w:w="497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979"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47</w:t>
            </w:r>
          </w:p>
        </w:tc>
        <w:tc>
          <w:tcPr>
            <w:tcW w:w="90" w:type="dxa"/>
            <w:tcBorders/>
            <w:shd w:fill="CCEEFF" w:val="clear"/>
            <w:vAlign w:val="center"/>
          </w:tcPr>
          <w:p>
            <w:pPr>
              <w:pStyle w:val="TableContents"/>
              <w:bidi w:val="0"/>
              <w:spacing w:before="0" w:after="283"/>
              <w:jc w:val="left"/>
              <w:rPr/>
            </w:pPr>
            <w:r>
              <w:rPr/>
              <w:t> </w:t>
            </w:r>
          </w:p>
        </w:tc>
        <w:tc>
          <w:tcPr>
            <w:tcW w:w="32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Shuimogou District Hongguangshan Rd. Chanson Bakery</w:t>
            </w:r>
          </w:p>
        </w:tc>
        <w:tc>
          <w:tcPr>
            <w:tcW w:w="90"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Wuyue Square</w:t>
            </w:r>
          </w:p>
        </w:tc>
        <w:tc>
          <w:tcPr>
            <w:tcW w:w="90" w:type="dxa"/>
            <w:tcBorders/>
            <w:shd w:fill="CCEEFF" w:val="clear"/>
            <w:vAlign w:val="center"/>
          </w:tcPr>
          <w:p>
            <w:pPr>
              <w:pStyle w:val="TableContents"/>
              <w:bidi w:val="0"/>
              <w:spacing w:before="0" w:after="283"/>
              <w:jc w:val="left"/>
              <w:rPr/>
            </w:pPr>
            <w:r>
              <w:rPr/>
              <w:t> </w:t>
            </w:r>
          </w:p>
        </w:tc>
        <w:tc>
          <w:tcPr>
            <w:tcW w:w="497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979"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48</w:t>
            </w:r>
          </w:p>
        </w:tc>
        <w:tc>
          <w:tcPr>
            <w:tcW w:w="90" w:type="dxa"/>
            <w:tcBorders/>
            <w:shd w:fill="CCEEFF" w:val="clear"/>
            <w:vAlign w:val="center"/>
          </w:tcPr>
          <w:p>
            <w:pPr>
              <w:pStyle w:val="TableContents"/>
              <w:bidi w:val="0"/>
              <w:spacing w:before="0" w:after="283"/>
              <w:jc w:val="left"/>
              <w:rPr/>
            </w:pPr>
            <w:r>
              <w:rPr/>
              <w:t> </w:t>
            </w:r>
          </w:p>
        </w:tc>
        <w:tc>
          <w:tcPr>
            <w:tcW w:w="32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Xinshi District Beijing Middle Rd. United Family Chanson Bakery</w:t>
            </w:r>
          </w:p>
        </w:tc>
        <w:tc>
          <w:tcPr>
            <w:tcW w:w="90"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Huijia Third Floor</w:t>
            </w:r>
          </w:p>
        </w:tc>
        <w:tc>
          <w:tcPr>
            <w:tcW w:w="90" w:type="dxa"/>
            <w:tcBorders/>
            <w:shd w:fill="CCEEFF" w:val="clear"/>
            <w:vAlign w:val="center"/>
          </w:tcPr>
          <w:p>
            <w:pPr>
              <w:pStyle w:val="TableContents"/>
              <w:bidi w:val="0"/>
              <w:spacing w:before="0" w:after="283"/>
              <w:jc w:val="left"/>
              <w:rPr/>
            </w:pPr>
            <w:r>
              <w:rPr/>
              <w:t> </w:t>
            </w:r>
          </w:p>
        </w:tc>
        <w:tc>
          <w:tcPr>
            <w:tcW w:w="4979"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 of UFG - owned 100% by Mr. Peng Chen and operated under agreements among Mr. Peng Chen, this entity, and Xinjiang United Family</w:t>
            </w:r>
          </w:p>
        </w:tc>
      </w:tr>
      <w:tr>
        <w:trPr/>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979"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49</w:t>
            </w:r>
          </w:p>
        </w:tc>
        <w:tc>
          <w:tcPr>
            <w:tcW w:w="90" w:type="dxa"/>
            <w:tcBorders/>
            <w:shd w:fill="CCEEFF" w:val="clear"/>
            <w:vAlign w:val="center"/>
          </w:tcPr>
          <w:p>
            <w:pPr>
              <w:pStyle w:val="TableContents"/>
              <w:bidi w:val="0"/>
              <w:spacing w:before="0" w:after="283"/>
              <w:jc w:val="left"/>
              <w:rPr/>
            </w:pPr>
            <w:r>
              <w:rPr/>
              <w:t> </w:t>
            </w:r>
          </w:p>
        </w:tc>
        <w:tc>
          <w:tcPr>
            <w:tcW w:w="32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Gaoxin (Xinshi) District South No.3 Rd. Chanson Bakery</w:t>
            </w:r>
          </w:p>
        </w:tc>
        <w:tc>
          <w:tcPr>
            <w:tcW w:w="90"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Railway Bureau</w:t>
            </w:r>
          </w:p>
        </w:tc>
        <w:tc>
          <w:tcPr>
            <w:tcW w:w="90" w:type="dxa"/>
            <w:tcBorders/>
            <w:shd w:fill="CCEEFF" w:val="clear"/>
            <w:vAlign w:val="center"/>
          </w:tcPr>
          <w:p>
            <w:pPr>
              <w:pStyle w:val="TableContents"/>
              <w:bidi w:val="0"/>
              <w:spacing w:before="0" w:after="283"/>
              <w:jc w:val="left"/>
              <w:rPr/>
            </w:pPr>
            <w:r>
              <w:rPr/>
              <w:t> </w:t>
            </w:r>
          </w:p>
        </w:tc>
        <w:tc>
          <w:tcPr>
            <w:tcW w:w="497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979"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50</w:t>
            </w:r>
          </w:p>
        </w:tc>
        <w:tc>
          <w:tcPr>
            <w:tcW w:w="90" w:type="dxa"/>
            <w:tcBorders/>
            <w:shd w:fill="CCEEFF" w:val="clear"/>
            <w:vAlign w:val="center"/>
          </w:tcPr>
          <w:p>
            <w:pPr>
              <w:pStyle w:val="TableContents"/>
              <w:bidi w:val="0"/>
              <w:spacing w:before="0" w:after="283"/>
              <w:jc w:val="left"/>
              <w:rPr/>
            </w:pPr>
            <w:r>
              <w:rPr/>
              <w:t> </w:t>
            </w:r>
          </w:p>
        </w:tc>
        <w:tc>
          <w:tcPr>
            <w:tcW w:w="32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Urumqi Midong George Chanson Bakery</w:t>
            </w:r>
          </w:p>
        </w:tc>
        <w:tc>
          <w:tcPr>
            <w:tcW w:w="90"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Midong</w:t>
            </w:r>
          </w:p>
        </w:tc>
        <w:tc>
          <w:tcPr>
            <w:tcW w:w="90" w:type="dxa"/>
            <w:tcBorders/>
            <w:shd w:fill="CCEEFF" w:val="clear"/>
            <w:vAlign w:val="center"/>
          </w:tcPr>
          <w:p>
            <w:pPr>
              <w:pStyle w:val="TableContents"/>
              <w:bidi w:val="0"/>
              <w:spacing w:before="0" w:after="283"/>
              <w:jc w:val="left"/>
              <w:rPr/>
            </w:pPr>
            <w:r>
              <w:rPr/>
              <w:t> </w:t>
            </w:r>
          </w:p>
        </w:tc>
        <w:tc>
          <w:tcPr>
            <w:tcW w:w="497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979"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w:t>
            </w:r>
          </w:p>
        </w:tc>
        <w:tc>
          <w:tcPr>
            <w:tcW w:w="90" w:type="dxa"/>
            <w:tcBorders/>
            <w:shd w:fill="CCEEFF" w:val="clear"/>
            <w:vAlign w:val="center"/>
          </w:tcPr>
          <w:p>
            <w:pPr>
              <w:pStyle w:val="TableContents"/>
              <w:bidi w:val="0"/>
              <w:spacing w:before="0" w:after="283"/>
              <w:jc w:val="left"/>
              <w:rPr/>
            </w:pPr>
            <w:r>
              <w:rPr/>
              <w:t> </w:t>
            </w:r>
          </w:p>
        </w:tc>
        <w:tc>
          <w:tcPr>
            <w:tcW w:w="32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Shayibake District Youhao South Rd. Chanson Bakery</w:t>
            </w:r>
          </w:p>
        </w:tc>
        <w:tc>
          <w:tcPr>
            <w:tcW w:w="90"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Chanson Lifestyle</w:t>
            </w:r>
          </w:p>
        </w:tc>
        <w:tc>
          <w:tcPr>
            <w:tcW w:w="90" w:type="dxa"/>
            <w:tcBorders/>
            <w:shd w:fill="CCEEFF" w:val="clear"/>
            <w:vAlign w:val="center"/>
          </w:tcPr>
          <w:p>
            <w:pPr>
              <w:pStyle w:val="TableContents"/>
              <w:bidi w:val="0"/>
              <w:spacing w:before="0" w:after="283"/>
              <w:jc w:val="left"/>
              <w:rPr/>
            </w:pPr>
            <w:r>
              <w:rPr/>
              <w:t> </w:t>
            </w:r>
          </w:p>
        </w:tc>
        <w:tc>
          <w:tcPr>
            <w:tcW w:w="497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979"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52</w:t>
            </w:r>
          </w:p>
        </w:tc>
        <w:tc>
          <w:tcPr>
            <w:tcW w:w="90" w:type="dxa"/>
            <w:tcBorders/>
            <w:shd w:fill="CCEEFF" w:val="clear"/>
            <w:vAlign w:val="center"/>
          </w:tcPr>
          <w:p>
            <w:pPr>
              <w:pStyle w:val="TableContents"/>
              <w:bidi w:val="0"/>
              <w:spacing w:before="0" w:after="283"/>
              <w:jc w:val="left"/>
              <w:rPr/>
            </w:pPr>
            <w:r>
              <w:rPr/>
              <w:t> </w:t>
            </w:r>
          </w:p>
        </w:tc>
        <w:tc>
          <w:tcPr>
            <w:tcW w:w="32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Xinshi District Changchun North Rd. Chanson Bakery</w:t>
            </w:r>
          </w:p>
        </w:tc>
        <w:tc>
          <w:tcPr>
            <w:tcW w:w="90"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Gaoxin Wanda</w:t>
            </w:r>
          </w:p>
        </w:tc>
        <w:tc>
          <w:tcPr>
            <w:tcW w:w="90" w:type="dxa"/>
            <w:tcBorders/>
            <w:shd w:fill="CCEEFF" w:val="clear"/>
            <w:vAlign w:val="center"/>
          </w:tcPr>
          <w:p>
            <w:pPr>
              <w:pStyle w:val="TableContents"/>
              <w:bidi w:val="0"/>
              <w:spacing w:before="0" w:after="283"/>
              <w:jc w:val="left"/>
              <w:rPr/>
            </w:pPr>
            <w:r>
              <w:rPr/>
              <w:t> </w:t>
            </w:r>
          </w:p>
        </w:tc>
        <w:tc>
          <w:tcPr>
            <w:tcW w:w="4979"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 of UFG - owned 100% by Ms. Xiaoli Zhao and operated under agreements among Ms. Xiaoli Zhao, this entity, and Xinjiang United Family</w:t>
            </w:r>
          </w:p>
        </w:tc>
      </w:tr>
      <w:tr>
        <w:trPr/>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979"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53</w:t>
            </w:r>
          </w:p>
        </w:tc>
        <w:tc>
          <w:tcPr>
            <w:tcW w:w="90" w:type="dxa"/>
            <w:tcBorders/>
            <w:shd w:fill="CCEEFF" w:val="clear"/>
            <w:vAlign w:val="center"/>
          </w:tcPr>
          <w:p>
            <w:pPr>
              <w:pStyle w:val="TableContents"/>
              <w:bidi w:val="0"/>
              <w:spacing w:before="0" w:after="283"/>
              <w:jc w:val="left"/>
              <w:rPr/>
            </w:pPr>
            <w:r>
              <w:rPr/>
              <w:t> </w:t>
            </w:r>
          </w:p>
        </w:tc>
        <w:tc>
          <w:tcPr>
            <w:tcW w:w="32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Shuimogou District Wenquan North Rd. Hemeijia Chanson Bakery</w:t>
            </w:r>
          </w:p>
        </w:tc>
        <w:tc>
          <w:tcPr>
            <w:tcW w:w="90"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Shijie Gongyuan</w:t>
            </w:r>
          </w:p>
        </w:tc>
        <w:tc>
          <w:tcPr>
            <w:tcW w:w="90" w:type="dxa"/>
            <w:tcBorders/>
            <w:shd w:fill="CCEEFF" w:val="clear"/>
            <w:vAlign w:val="center"/>
          </w:tcPr>
          <w:p>
            <w:pPr>
              <w:pStyle w:val="TableContents"/>
              <w:bidi w:val="0"/>
              <w:spacing w:before="0" w:after="283"/>
              <w:jc w:val="left"/>
              <w:rPr/>
            </w:pPr>
            <w:r>
              <w:rPr/>
              <w:t> </w:t>
            </w:r>
          </w:p>
        </w:tc>
        <w:tc>
          <w:tcPr>
            <w:tcW w:w="497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979"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54</w:t>
            </w:r>
          </w:p>
        </w:tc>
        <w:tc>
          <w:tcPr>
            <w:tcW w:w="90" w:type="dxa"/>
            <w:tcBorders/>
            <w:shd w:fill="CCEEFF" w:val="clear"/>
            <w:vAlign w:val="center"/>
          </w:tcPr>
          <w:p>
            <w:pPr>
              <w:pStyle w:val="TableContents"/>
              <w:bidi w:val="0"/>
              <w:spacing w:before="0" w:after="283"/>
              <w:jc w:val="left"/>
              <w:rPr/>
            </w:pPr>
            <w:r>
              <w:rPr/>
              <w:t> </w:t>
            </w:r>
          </w:p>
        </w:tc>
        <w:tc>
          <w:tcPr>
            <w:tcW w:w="32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Xinjiang United Family Trading Co., Ltd. Chanson Bakery Urumqi Branch</w:t>
            </w:r>
          </w:p>
        </w:tc>
        <w:tc>
          <w:tcPr>
            <w:tcW w:w="90"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Wenhua</w:t>
            </w:r>
          </w:p>
        </w:tc>
        <w:tc>
          <w:tcPr>
            <w:tcW w:w="90" w:type="dxa"/>
            <w:tcBorders/>
            <w:shd w:fill="CCEEFF" w:val="clear"/>
            <w:vAlign w:val="center"/>
          </w:tcPr>
          <w:p>
            <w:pPr>
              <w:pStyle w:val="TableContents"/>
              <w:bidi w:val="0"/>
              <w:spacing w:before="0" w:after="283"/>
              <w:jc w:val="left"/>
              <w:rPr/>
            </w:pPr>
            <w:r>
              <w:rPr/>
              <w:t> </w:t>
            </w:r>
          </w:p>
        </w:tc>
        <w:tc>
          <w:tcPr>
            <w:tcW w:w="497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branch office of Xinjiang United Family</w:t>
            </w:r>
          </w:p>
        </w:tc>
      </w:tr>
      <w:tr>
        <w:trPr/>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979"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55</w:t>
            </w:r>
          </w:p>
        </w:tc>
        <w:tc>
          <w:tcPr>
            <w:tcW w:w="90" w:type="dxa"/>
            <w:tcBorders/>
            <w:shd w:fill="CCEEFF" w:val="clear"/>
            <w:vAlign w:val="center"/>
          </w:tcPr>
          <w:p>
            <w:pPr>
              <w:pStyle w:val="TableContents"/>
              <w:bidi w:val="0"/>
              <w:spacing w:before="0" w:after="283"/>
              <w:jc w:val="left"/>
              <w:rPr/>
            </w:pPr>
            <w:r>
              <w:rPr/>
              <w:t> </w:t>
            </w:r>
          </w:p>
        </w:tc>
        <w:tc>
          <w:tcPr>
            <w:tcW w:w="32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Xinjiang United Family Trading Co., Ltd. Urumqi Meimei Chanson Bakery</w:t>
            </w:r>
          </w:p>
        </w:tc>
        <w:tc>
          <w:tcPr>
            <w:tcW w:w="90"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Meimei</w:t>
            </w:r>
          </w:p>
        </w:tc>
        <w:tc>
          <w:tcPr>
            <w:tcW w:w="90" w:type="dxa"/>
            <w:tcBorders/>
            <w:shd w:fill="CCEEFF" w:val="clear"/>
            <w:vAlign w:val="center"/>
          </w:tcPr>
          <w:p>
            <w:pPr>
              <w:pStyle w:val="TableContents"/>
              <w:bidi w:val="0"/>
              <w:spacing w:before="0" w:after="283"/>
              <w:jc w:val="left"/>
              <w:rPr/>
            </w:pPr>
            <w:r>
              <w:rPr/>
              <w:t> </w:t>
            </w:r>
          </w:p>
        </w:tc>
        <w:tc>
          <w:tcPr>
            <w:tcW w:w="497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branch office of Xinjiang United Family</w:t>
            </w:r>
          </w:p>
        </w:tc>
      </w:tr>
      <w:tr>
        <w:trPr/>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979"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56</w:t>
            </w:r>
          </w:p>
        </w:tc>
        <w:tc>
          <w:tcPr>
            <w:tcW w:w="90" w:type="dxa"/>
            <w:tcBorders/>
            <w:shd w:fill="CCEEFF" w:val="clear"/>
            <w:vAlign w:val="center"/>
          </w:tcPr>
          <w:p>
            <w:pPr>
              <w:pStyle w:val="TableContents"/>
              <w:bidi w:val="0"/>
              <w:spacing w:before="0" w:after="283"/>
              <w:jc w:val="left"/>
              <w:rPr/>
            </w:pPr>
            <w:r>
              <w:rPr/>
              <w:t> </w:t>
            </w:r>
          </w:p>
        </w:tc>
        <w:tc>
          <w:tcPr>
            <w:tcW w:w="32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Xinjiang United Family Trading Co., Ltd. Tianshan District Chanson Bakery</w:t>
            </w:r>
          </w:p>
        </w:tc>
        <w:tc>
          <w:tcPr>
            <w:tcW w:w="90"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Tianbai</w:t>
            </w:r>
          </w:p>
        </w:tc>
        <w:tc>
          <w:tcPr>
            <w:tcW w:w="90" w:type="dxa"/>
            <w:tcBorders/>
            <w:shd w:fill="CCEEFF" w:val="clear"/>
            <w:vAlign w:val="center"/>
          </w:tcPr>
          <w:p>
            <w:pPr>
              <w:pStyle w:val="TableContents"/>
              <w:bidi w:val="0"/>
              <w:spacing w:before="0" w:after="283"/>
              <w:jc w:val="left"/>
              <w:rPr/>
            </w:pPr>
            <w:r>
              <w:rPr/>
              <w:t> </w:t>
            </w:r>
          </w:p>
        </w:tc>
        <w:tc>
          <w:tcPr>
            <w:tcW w:w="497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branch office of Xinjiang United Family</w:t>
            </w:r>
          </w:p>
        </w:tc>
      </w:tr>
      <w:tr>
        <w:trPr/>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979"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57</w:t>
            </w:r>
          </w:p>
        </w:tc>
        <w:tc>
          <w:tcPr>
            <w:tcW w:w="90" w:type="dxa"/>
            <w:tcBorders/>
            <w:shd w:fill="CCEEFF" w:val="clear"/>
            <w:vAlign w:val="center"/>
          </w:tcPr>
          <w:p>
            <w:pPr>
              <w:pStyle w:val="TableContents"/>
              <w:bidi w:val="0"/>
              <w:spacing w:before="0" w:after="283"/>
              <w:jc w:val="left"/>
              <w:rPr/>
            </w:pPr>
            <w:r>
              <w:rPr/>
              <w:t> </w:t>
            </w:r>
          </w:p>
        </w:tc>
        <w:tc>
          <w:tcPr>
            <w:tcW w:w="32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Xinjiang United Family Trading Co., Ltd. Coffee Bakery Branch</w:t>
            </w:r>
          </w:p>
        </w:tc>
        <w:tc>
          <w:tcPr>
            <w:tcW w:w="90"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Meimei No. 3</w:t>
            </w:r>
          </w:p>
        </w:tc>
        <w:tc>
          <w:tcPr>
            <w:tcW w:w="90" w:type="dxa"/>
            <w:tcBorders/>
            <w:shd w:fill="CCEEFF" w:val="clear"/>
            <w:vAlign w:val="center"/>
          </w:tcPr>
          <w:p>
            <w:pPr>
              <w:pStyle w:val="TableContents"/>
              <w:bidi w:val="0"/>
              <w:spacing w:before="0" w:after="283"/>
              <w:jc w:val="left"/>
              <w:rPr/>
            </w:pPr>
            <w:r>
              <w:rPr/>
              <w:t> </w:t>
            </w:r>
          </w:p>
        </w:tc>
        <w:tc>
          <w:tcPr>
            <w:tcW w:w="497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branch office of Xinjiang United Family</w:t>
            </w:r>
          </w:p>
        </w:tc>
      </w:tr>
      <w:tr>
        <w:trPr/>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979"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58</w:t>
            </w:r>
          </w:p>
        </w:tc>
        <w:tc>
          <w:tcPr>
            <w:tcW w:w="90" w:type="dxa"/>
            <w:tcBorders/>
            <w:shd w:fill="CCEEFF" w:val="clear"/>
            <w:vAlign w:val="center"/>
          </w:tcPr>
          <w:p>
            <w:pPr>
              <w:pStyle w:val="TableContents"/>
              <w:bidi w:val="0"/>
              <w:spacing w:before="0" w:after="283"/>
              <w:jc w:val="left"/>
              <w:rPr/>
            </w:pPr>
            <w:r>
              <w:rPr/>
              <w:t> </w:t>
            </w:r>
          </w:p>
        </w:tc>
        <w:tc>
          <w:tcPr>
            <w:tcW w:w="32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Xinjiang United Family Trading Co., Ltd. Ruitai Chanson Bakery</w:t>
            </w:r>
          </w:p>
        </w:tc>
        <w:tc>
          <w:tcPr>
            <w:tcW w:w="90"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Ruitai</w:t>
            </w:r>
          </w:p>
        </w:tc>
        <w:tc>
          <w:tcPr>
            <w:tcW w:w="90" w:type="dxa"/>
            <w:tcBorders/>
            <w:shd w:fill="CCEEFF" w:val="clear"/>
            <w:vAlign w:val="center"/>
          </w:tcPr>
          <w:p>
            <w:pPr>
              <w:pStyle w:val="TableContents"/>
              <w:bidi w:val="0"/>
              <w:spacing w:before="0" w:after="283"/>
              <w:jc w:val="left"/>
              <w:rPr/>
            </w:pPr>
            <w:r>
              <w:rPr/>
              <w:t> </w:t>
            </w:r>
          </w:p>
        </w:tc>
        <w:tc>
          <w:tcPr>
            <w:tcW w:w="497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branch office of Xinjiang United Family</w:t>
            </w:r>
          </w:p>
        </w:tc>
      </w:tr>
      <w:tr>
        <w:trPr/>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979"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59</w:t>
            </w:r>
          </w:p>
        </w:tc>
        <w:tc>
          <w:tcPr>
            <w:tcW w:w="90" w:type="dxa"/>
            <w:tcBorders/>
            <w:shd w:fill="CCEEFF" w:val="clear"/>
            <w:vAlign w:val="center"/>
          </w:tcPr>
          <w:p>
            <w:pPr>
              <w:pStyle w:val="TableContents"/>
              <w:bidi w:val="0"/>
              <w:spacing w:before="0" w:after="283"/>
              <w:jc w:val="left"/>
              <w:rPr/>
            </w:pPr>
            <w:r>
              <w:rPr/>
              <w:t> </w:t>
            </w:r>
          </w:p>
        </w:tc>
        <w:tc>
          <w:tcPr>
            <w:tcW w:w="32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Xinjiang United Family Trading Co., Ltd. Xinshi District Chanson Bakery</w:t>
            </w:r>
          </w:p>
        </w:tc>
        <w:tc>
          <w:tcPr>
            <w:tcW w:w="90"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Yixueyuan</w:t>
            </w:r>
          </w:p>
        </w:tc>
        <w:tc>
          <w:tcPr>
            <w:tcW w:w="90" w:type="dxa"/>
            <w:tcBorders/>
            <w:shd w:fill="CCEEFF" w:val="clear"/>
            <w:vAlign w:val="center"/>
          </w:tcPr>
          <w:p>
            <w:pPr>
              <w:pStyle w:val="TableContents"/>
              <w:bidi w:val="0"/>
              <w:spacing w:before="0" w:after="283"/>
              <w:jc w:val="left"/>
              <w:rPr/>
            </w:pPr>
            <w:r>
              <w:rPr/>
              <w:t> </w:t>
            </w:r>
          </w:p>
        </w:tc>
        <w:tc>
          <w:tcPr>
            <w:tcW w:w="497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branch office of Xinjiang United Family</w:t>
            </w:r>
          </w:p>
        </w:tc>
      </w:tr>
      <w:tr>
        <w:trPr/>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979"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60</w:t>
            </w:r>
          </w:p>
        </w:tc>
        <w:tc>
          <w:tcPr>
            <w:tcW w:w="90" w:type="dxa"/>
            <w:tcBorders/>
            <w:shd w:fill="CCEEFF" w:val="clear"/>
            <w:vAlign w:val="center"/>
          </w:tcPr>
          <w:p>
            <w:pPr>
              <w:pStyle w:val="TableContents"/>
              <w:bidi w:val="0"/>
              <w:spacing w:before="0" w:after="283"/>
              <w:jc w:val="left"/>
              <w:rPr/>
            </w:pPr>
            <w:r>
              <w:rPr/>
              <w:t> </w:t>
            </w:r>
          </w:p>
        </w:tc>
        <w:tc>
          <w:tcPr>
            <w:tcW w:w="32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Xinjiang United Family Trading Co., Ltd. Zhaokang Hemeijia Chanson</w:t>
            </w:r>
          </w:p>
        </w:tc>
        <w:tc>
          <w:tcPr>
            <w:tcW w:w="90"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Zhaokang Huijia</w:t>
            </w:r>
          </w:p>
        </w:tc>
        <w:tc>
          <w:tcPr>
            <w:tcW w:w="90" w:type="dxa"/>
            <w:tcBorders/>
            <w:shd w:fill="CCEEFF" w:val="clear"/>
            <w:vAlign w:val="center"/>
          </w:tcPr>
          <w:p>
            <w:pPr>
              <w:pStyle w:val="TableContents"/>
              <w:bidi w:val="0"/>
              <w:spacing w:before="0" w:after="283"/>
              <w:jc w:val="left"/>
              <w:rPr/>
            </w:pPr>
            <w:r>
              <w:rPr/>
              <w:t> </w:t>
            </w:r>
          </w:p>
        </w:tc>
        <w:tc>
          <w:tcPr>
            <w:tcW w:w="497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branch office of Xinjiang United Family</w:t>
            </w:r>
          </w:p>
        </w:tc>
      </w:tr>
      <w:tr>
        <w:trPr/>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979"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w:t>
            </w:r>
          </w:p>
        </w:tc>
        <w:tc>
          <w:tcPr>
            <w:tcW w:w="90" w:type="dxa"/>
            <w:tcBorders/>
            <w:shd w:fill="CCEEFF" w:val="clear"/>
            <w:vAlign w:val="center"/>
          </w:tcPr>
          <w:p>
            <w:pPr>
              <w:pStyle w:val="TableContents"/>
              <w:bidi w:val="0"/>
              <w:spacing w:before="0" w:after="283"/>
              <w:jc w:val="left"/>
              <w:rPr/>
            </w:pPr>
            <w:r>
              <w:rPr/>
              <w:t> </w:t>
            </w:r>
          </w:p>
        </w:tc>
        <w:tc>
          <w:tcPr>
            <w:tcW w:w="32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Xinjiang United Family Trading Co., Ltd. Hemeijia Chanson Bakery</w:t>
            </w:r>
          </w:p>
        </w:tc>
        <w:tc>
          <w:tcPr>
            <w:tcW w:w="90"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Zijin City Square</w:t>
            </w:r>
          </w:p>
        </w:tc>
        <w:tc>
          <w:tcPr>
            <w:tcW w:w="90" w:type="dxa"/>
            <w:tcBorders/>
            <w:shd w:fill="CCEEFF" w:val="clear"/>
            <w:vAlign w:val="center"/>
          </w:tcPr>
          <w:p>
            <w:pPr>
              <w:pStyle w:val="TableContents"/>
              <w:bidi w:val="0"/>
              <w:spacing w:before="0" w:after="283"/>
              <w:jc w:val="left"/>
              <w:rPr/>
            </w:pPr>
            <w:r>
              <w:rPr/>
              <w:t> </w:t>
            </w:r>
          </w:p>
        </w:tc>
        <w:tc>
          <w:tcPr>
            <w:tcW w:w="497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branch office of Xinjiang United Family</w:t>
            </w:r>
          </w:p>
        </w:tc>
      </w:tr>
      <w:tr>
        <w:trPr/>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979"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62</w:t>
            </w:r>
          </w:p>
        </w:tc>
        <w:tc>
          <w:tcPr>
            <w:tcW w:w="90" w:type="dxa"/>
            <w:tcBorders/>
            <w:shd w:fill="CCEEFF" w:val="clear"/>
            <w:vAlign w:val="center"/>
          </w:tcPr>
          <w:p>
            <w:pPr>
              <w:pStyle w:val="TableContents"/>
              <w:bidi w:val="0"/>
              <w:spacing w:before="0" w:after="283"/>
              <w:jc w:val="left"/>
              <w:rPr/>
            </w:pPr>
            <w:r>
              <w:rPr/>
              <w:t> </w:t>
            </w:r>
          </w:p>
        </w:tc>
        <w:tc>
          <w:tcPr>
            <w:tcW w:w="32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Urumqi George Chanson Trading Co., Ltd. Tianshan District Coffee and Bakery</w:t>
            </w:r>
          </w:p>
        </w:tc>
        <w:tc>
          <w:tcPr>
            <w:tcW w:w="90"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Jianglaicheng</w:t>
            </w:r>
          </w:p>
        </w:tc>
        <w:tc>
          <w:tcPr>
            <w:tcW w:w="90" w:type="dxa"/>
            <w:tcBorders/>
            <w:shd w:fill="CCEEFF" w:val="clear"/>
            <w:vAlign w:val="center"/>
          </w:tcPr>
          <w:p>
            <w:pPr>
              <w:pStyle w:val="TableContents"/>
              <w:bidi w:val="0"/>
              <w:spacing w:before="0" w:after="283"/>
              <w:jc w:val="left"/>
              <w:rPr/>
            </w:pPr>
            <w:r>
              <w:rPr/>
              <w:t> </w:t>
            </w:r>
          </w:p>
        </w:tc>
        <w:tc>
          <w:tcPr>
            <w:tcW w:w="497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branch office of George Chanson Trading</w:t>
            </w:r>
          </w:p>
        </w:tc>
      </w:tr>
      <w:tr>
        <w:trPr/>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979"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63</w:t>
            </w:r>
          </w:p>
        </w:tc>
        <w:tc>
          <w:tcPr>
            <w:tcW w:w="90" w:type="dxa"/>
            <w:tcBorders/>
            <w:shd w:fill="CCEEFF" w:val="clear"/>
            <w:vAlign w:val="center"/>
          </w:tcPr>
          <w:p>
            <w:pPr>
              <w:pStyle w:val="TableContents"/>
              <w:bidi w:val="0"/>
              <w:spacing w:before="0" w:after="283"/>
              <w:jc w:val="left"/>
              <w:rPr/>
            </w:pPr>
            <w:r>
              <w:rPr/>
              <w:t> </w:t>
            </w:r>
          </w:p>
        </w:tc>
        <w:tc>
          <w:tcPr>
            <w:tcW w:w="32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Xinjiang United Family Trading Co., Ltd. Urumqi Chanson Bakery</w:t>
            </w:r>
          </w:p>
        </w:tc>
        <w:tc>
          <w:tcPr>
            <w:tcW w:w="90"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Youhao Shangcheng</w:t>
            </w:r>
          </w:p>
        </w:tc>
        <w:tc>
          <w:tcPr>
            <w:tcW w:w="90" w:type="dxa"/>
            <w:tcBorders/>
            <w:shd w:fill="CCEEFF" w:val="clear"/>
            <w:vAlign w:val="center"/>
          </w:tcPr>
          <w:p>
            <w:pPr>
              <w:pStyle w:val="TableContents"/>
              <w:bidi w:val="0"/>
              <w:spacing w:before="0" w:after="283"/>
              <w:jc w:val="left"/>
              <w:rPr/>
            </w:pPr>
            <w:r>
              <w:rPr/>
              <w:t> </w:t>
            </w:r>
          </w:p>
        </w:tc>
        <w:tc>
          <w:tcPr>
            <w:tcW w:w="497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branch office of Xinjiang United Family</w:t>
            </w:r>
          </w:p>
        </w:tc>
      </w:tr>
      <w:tr>
        <w:trPr/>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979"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64</w:t>
            </w:r>
          </w:p>
        </w:tc>
        <w:tc>
          <w:tcPr>
            <w:tcW w:w="90" w:type="dxa"/>
            <w:tcBorders/>
            <w:shd w:fill="CCEEFF" w:val="clear"/>
            <w:vAlign w:val="center"/>
          </w:tcPr>
          <w:p>
            <w:pPr>
              <w:pStyle w:val="TableContents"/>
              <w:bidi w:val="0"/>
              <w:spacing w:before="0" w:after="283"/>
              <w:jc w:val="left"/>
              <w:rPr/>
            </w:pPr>
            <w:r>
              <w:rPr/>
              <w:t> </w:t>
            </w:r>
          </w:p>
        </w:tc>
        <w:tc>
          <w:tcPr>
            <w:tcW w:w="32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Chanson 23rd Street LLC</w:t>
            </w:r>
          </w:p>
        </w:tc>
        <w:tc>
          <w:tcPr>
            <w:tcW w:w="90"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Chanson 23rd Street</w:t>
            </w:r>
          </w:p>
        </w:tc>
        <w:tc>
          <w:tcPr>
            <w:tcW w:w="90" w:type="dxa"/>
            <w:tcBorders/>
            <w:shd w:fill="CCEEFF" w:val="clear"/>
            <w:vAlign w:val="center"/>
          </w:tcPr>
          <w:p>
            <w:pPr>
              <w:pStyle w:val="TableContents"/>
              <w:bidi w:val="0"/>
              <w:spacing w:before="0" w:after="283"/>
              <w:jc w:val="left"/>
              <w:rPr/>
            </w:pPr>
            <w:r>
              <w:rPr/>
              <w:t> </w:t>
            </w:r>
          </w:p>
        </w:tc>
        <w:tc>
          <w:tcPr>
            <w:tcW w:w="497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wholly owned indirect subsidiary of Xinjiang United Family</w:t>
            </w:r>
          </w:p>
        </w:tc>
      </w:tr>
      <w:tr>
        <w:trPr/>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979"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65</w:t>
            </w:r>
          </w:p>
        </w:tc>
        <w:tc>
          <w:tcPr>
            <w:tcW w:w="90" w:type="dxa"/>
            <w:tcBorders/>
            <w:shd w:fill="CCEEFF" w:val="clear"/>
            <w:vAlign w:val="center"/>
          </w:tcPr>
          <w:p>
            <w:pPr>
              <w:pStyle w:val="TableContents"/>
              <w:bidi w:val="0"/>
              <w:spacing w:before="0" w:after="283"/>
              <w:jc w:val="left"/>
              <w:rPr/>
            </w:pPr>
            <w:r>
              <w:rPr/>
              <w:t> </w:t>
            </w:r>
          </w:p>
        </w:tc>
        <w:tc>
          <w:tcPr>
            <w:tcW w:w="32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Chanson 1293 3rd Ave LLC</w:t>
            </w:r>
          </w:p>
        </w:tc>
        <w:tc>
          <w:tcPr>
            <w:tcW w:w="90"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Chanson 3rd Ave</w:t>
            </w:r>
          </w:p>
        </w:tc>
        <w:tc>
          <w:tcPr>
            <w:tcW w:w="90" w:type="dxa"/>
            <w:tcBorders/>
            <w:shd w:fill="CCEEFF" w:val="clear"/>
            <w:vAlign w:val="center"/>
          </w:tcPr>
          <w:p>
            <w:pPr>
              <w:pStyle w:val="TableContents"/>
              <w:bidi w:val="0"/>
              <w:spacing w:before="0" w:after="283"/>
              <w:jc w:val="left"/>
              <w:rPr/>
            </w:pPr>
            <w:r>
              <w:rPr/>
              <w:t> </w:t>
            </w:r>
          </w:p>
        </w:tc>
        <w:tc>
          <w:tcPr>
            <w:tcW w:w="497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979" w:type="dxa"/>
            <w:tcBorders/>
            <w:vAlign w:val="center"/>
          </w:tcPr>
          <w:p>
            <w:pPr>
              <w:pStyle w:val="TableContents"/>
              <w:bidi w:val="0"/>
              <w:spacing w:before="0" w:after="283"/>
              <w:jc w:val="center"/>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66</w:t>
            </w:r>
          </w:p>
        </w:tc>
        <w:tc>
          <w:tcPr>
            <w:tcW w:w="90" w:type="dxa"/>
            <w:tcBorders/>
            <w:shd w:fill="CCEEFF" w:val="clear"/>
            <w:vAlign w:val="center"/>
          </w:tcPr>
          <w:p>
            <w:pPr>
              <w:pStyle w:val="TableContents"/>
              <w:bidi w:val="0"/>
              <w:spacing w:before="0" w:after="283"/>
              <w:jc w:val="left"/>
              <w:rPr/>
            </w:pPr>
            <w:r>
              <w:rPr/>
              <w:t> </w:t>
            </w:r>
          </w:p>
        </w:tc>
        <w:tc>
          <w:tcPr>
            <w:tcW w:w="32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Chanson 2040 Broadway LLC</w:t>
            </w:r>
          </w:p>
        </w:tc>
        <w:tc>
          <w:tcPr>
            <w:tcW w:w="90"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Chanson Broadway</w:t>
            </w:r>
          </w:p>
        </w:tc>
        <w:tc>
          <w:tcPr>
            <w:tcW w:w="90" w:type="dxa"/>
            <w:tcBorders/>
            <w:shd w:fill="CCEEFF" w:val="clear"/>
            <w:vAlign w:val="center"/>
          </w:tcPr>
          <w:p>
            <w:pPr>
              <w:pStyle w:val="TableContents"/>
              <w:bidi w:val="0"/>
              <w:spacing w:before="0" w:after="283"/>
              <w:jc w:val="left"/>
              <w:rPr/>
            </w:pPr>
            <w:r>
              <w:rPr/>
              <w:t> </w:t>
            </w:r>
          </w:p>
        </w:tc>
        <w:tc>
          <w:tcPr>
            <w:tcW w:w="497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ease of reference, unless it is necessary to the understanding of the context to differentiate, throughout this annual report we will refer to all the above entities collectively as our “stores” and, to the extent we refer to a specific entity listed in the table above, we refer to such entity by its commercial name.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United Family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UFG Entity was established as an individually-owned business and, for accounting purposes, Xinjiang United Family controls the UFG Entities through the VIE Agreements, which enables us to consolidate the financial results of the UFG Entities in our consolidated financial statements. The VIE Agreements are designed so that the operations of the VIEs are solely for the benefit of Xinjiang United Family and ultimately, the Company, as a result of our direct ownership in Xinjiang United family. As such, under U.S. GAAP, the Company is deemed to have a controlling financial interest in, and be the primary beneficiary of, the VIEs for accounting purposes only and must consolidate the VIEs because it met the conditions under U.S. GAAP to consolidate the VIEs.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UFG’s revenue accounted for 56%, 62%, 54% of our total revenue for the years ended December 31, 2025, 2024, and 2023, respectively. UFG consists of 53 VIEs. Our Chairman, Mr. Gang Li, is the sole owner of 50 UFG Entities, Ms. Hui Wang, the Marketing Director of Xinjiang United Family, is the sole owner of three UFG Entities. Mr. Peng Chen, the Sales Manager of Xinjiang United Family, is the sole owner of four UFG Entities. Ms. Xiaoli Zhao is the sole owner of two UFG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VIE Agreements is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Exclusive Service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Exclusive Service Agreement between Xinjiang United Family and the applicable UFG Operator, who is the sole operator of the UFG Entity, Xinjiang United Family is in charge of all aspects of the UFG Entity’s operation, manages all matters and funds of UFG Entity, and enjoys all the other responsibilities and rights enjoyed by the UFG Operator in accordance with the applicable law, on an exclusive basis. For services rendered to the UFG Entity by Xinjiang United Family under the Exclusive Service Agreement, Xinjiang United Family is entitled to collect a service fee equal to the net profit after tax of the UFG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of the Exclusive Service Agreement is 10 years, unless terminated earlier by Xinjiang United Family with a 30-day prior notice. The UFG Entity does not have the right to terminate that agreement unilaterally. The agreement would renew automatically by 10 years after expiration, with no limit on times of renewal.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Xinjiang United Family has absolute authority over the management of the UFG Entity, including but not limited to decisions with regard to expenses, salary raises and bonuses, hiring, firing, and other operational functions. The Exclusive Service Agreement does not prohibit related party transactions. The audit committee of Chanson International is required to review and approve in advance any related party transactions, including transactions involving the UFG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Pledge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Pledge Agreement between Xinjiang United Family and the UFG Operator, the UFG Operator pledged all of his or her assets for the business of the UFG Entity to Xinjiang United Family to guarantee the performance of the UFG Operator’s obligations under the Exclusive Service Agreement, Call Option Agreement, and Operating Rights Proxy Agreement (collectively, the “Transaction Agreements”). Under the terms of the Pledge Agreement, in the event that the UFG Entity or the UFG Operator breaches their respective contractual obligations under the Transaction Agreements, Xinjiang United Family, as pledgee, will be entitled to certain rights, including, but not limited to, the right to dispose of the pledged assets in accordance with applicable PRC laws. The UFG Operator further agreed not to dispose of the pledged assets or take any actions that would prejudice Xinjiang United Family’s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Pledge Agreement is effective until the latest date of the following: (1) the secured debt in the scope of pledge is cleared off; (2) Xinjiang United Family, as pledgee, exercise its pledge rights pursuant to provisions and conditions of the Pledge Agreement; and (3) the UFG Operator, as pledger, transfer all the pledged assets to Xinjiang United Family according to the Call Option Agreement, or other entity or individual designated by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purposes of the Pledge Agreement are to (1) guarantee the performance of the UFG Operator’s obligations under the Exclusive Service Agreement, (2) make sure the UFG Operator does not transfer or assign the pledged assets, or create or allow any encumbrance that would prejudice Xinjiang United Family’s interests without Xinjiang United Family’s prior written consent, and (3) provide Xinjiang United Family control over the UFG Entity for accounting purposes. In the event the UFG Entity or UFG Operator breaches its contractual obligations under the Transaction Agreements, Xinjiang United Family will be entitled to foreclose on the UFG Operator’s assets in the UFG Entity and may (1) exercise its option to purchase or designate third parties to purchase part or all of the UFG Operator’s assets in the UFG Entity and in this situation, Xinjiang United Family may terminate the Pledge Agreement and the other VIE agreements after acquisition of all assets in the UFG Entity or form a new VIE structure with any third party designated by Xinjiang United Family, or (2) dispose of the pledged assets and be paid in priority out of proceeds from the disposal in which case the existing VIE structure will be terminated.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Call Option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Call Option Agreement, the UFG Operator irrevocably granted Xinjiang United Family an exclusive option to require the UFG Operator to transfer, to the extent permitted under PRC law, once or at multiple times, at any time, part or all of his or her assets in the UFG Entity to Xinjiang United Family (or its designee). The option price is the minimum amount to the extent permitted under PRC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Call Option Agreement, Xinjiang United Family may at any time under any circumstances, require the UFG Operator to transfer, at its discretion, to the extent permitted under PRC law, all or part of the UFG Operator’s assets in the UFG Entity to Xinjiang United Family (or its designee).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Call Option Agreement remains effective until all the equity or assets of the UFG Entity is legally transferred under the name of Xinjiang United Family and/or other entity or individual designated by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Operating Rights Proxy Agreement and Powers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Operating Rights Proxy Agreement and the Powers of Attorney, the UFG Operator entrusted Xinjiang United Family or the personnel designated by it then to act as his or her proxy and exercise his or her rights as the sole operator of the UFG Entity, including but not limited to: (a) exercising operating rights; (b) getting access to financial information of the UFG Entity; (c) making resolutions about the disposition of the assets of the UFG Entity; (d) approving annual budgets of the UFG Entity or announcing dividends; (e) making resolutions about dissolution or liquidation of the UFG Entity, forming the liquidating committee, and exercising the authorities in the course of liquidation; (f) filing any required document to the company registration agency or any other relevant agency; and (g) signing any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Rights Proxy Agreement and the Powers of Attorney shall be retrospectively effective from their date of execution and maintain the effectiveness so long as the UFG Operator holds the operating rights of the UFG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Spousal Consents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spouses of the UFG Operators, agreed, via spousal consents, to the execution of the “Transaction Documents” including: (a) Exclusive Service Agreement entered into with Xinjiang United Family; (b) Call Option Agreement entered into with Xinjiang United Family; (c) Operating Rights Proxy Agreement entered into with Xinjiang United Family; (d) Pledge Agreement entered into with Xinjiang United Family; and (e) Powers of Attorney executed by the UFG Operators, and the disposal of the operating rights or the assets for the business of the UFG Entity held by the UFG Operators and registered in their names.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spouses of the UFG Operators further undertake not to make any assertions in connection with the operating rights and assets of the UFG Entity which are held by the UFG Operators. The spouses of the UFG Operators confirm that the UFG Operators can perform their obligations under the Transaction Documents and further amend or terminate the Transaction Documents without their authorization or consent. The spouses of the UFG Operators undertake to execute all necessary documents and take all necessary actions to ensure appropriate performance of the Transaction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spouses of the UFG Operators also undertake that if they obtain any operating rights and assets of the UFG Entity which are held by the UFG Operators for any reasons, they shall be bound by the Transaction Documents entered into between the UFG Operators and Xinjiang United Family (as amended time to time) and comply with the obligations thereunder as an operator of the UFG Entity. For this purpose, upon Xinjiang United Family’s request, they shall sign a series of written documents in substantially the same format and content as the Transaction Documents (as amended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each UFG Entity has its own set of agreements with Xinjiang United Family, the terms and conditions of their agreements with Xinjiang United Family are identical. As a result of the understandings and agreements, for accounting purposes, we control and receive the economic benefits of the UFG Entities through the VIE Agreements, which enable us to consolidate the financial results of the VIEs in our consolidated financial statements under U.S. GAAP. Except as set forth in these agreements, the UFG Operators are not entitled to any other compensation in connection with their ownership of all the UFG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Associated with our Corporate Structure and the VIE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do not directly hold equity interests in the VIEs, we are subject to risks and uncertainties of the interpretations and applications of PRC laws and regulations, including but not limited to, regulatory review of overseas listing of PRC companies through special purpose vehicles and the validity and enforcement of the VIE Agreements. We are also subject to the risks and uncertainties about any future actions of the PRC government in this regard that could disallow the VIE structure, which would likely result in a material change in our operations, and the value of our Class A Ordinary Shares may depreciate significantly or become worthless. The VIE Agreements have not been tested in a court of law in China as of the date of this annual report. See “-D. Risk Factors-Risks Relating to Our Corporate Structure,” “-D. Risk Factors-Risks Relating to Doing Business in the PRC,” and “-D. Risk Factors-Risks Relating to Our Class A Ordinary Shares and the Trading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VIE Agreements may not be as effective as direct ownership in providing operational control. For instance, the UFG Entities and the UFG Operators could breach their contractual arrangements with us by, among other things, failing to conduct their operations in an acceptable manner or taking other actions that are detrimental to our interests. The UFG Operators may not act in the best interests of our Company or may not perform their obligations under these contracts. Such risks exist throughout the period in which we intend to operate certain portions of our business through the VIE Agreements. In the event that the UFG Entities or the UFG Operators fail to perform their respective obligations under the VIE Agreements, we may have to incur substantial costs and expend additional resources to enforce such arrangements. In addition, even if legal actions are taken to enforce such arrangements, there is uncertainty as to whether the courts of the PRC would recognize or enforce judgments of U.S. courts against us or such persons predicated upon the civil liability provisions of the securities laws of the U.S. or any state. See “-D. Risk Factors-Risks Relating to Our Corporate Structure-The VIE Agreements with the UFG Entities and the UFG Operators may not be effective in providing control over the UFG Entities” and “-D. Risk Factors-Risks Relating to Our Corporate Structure-The VIE Agreements with the UFG Entities are governed by the laws of the PRC and we may have difficulty in enforcing any rights we may have under the VIE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 Transfers Between Our Company, Our Subsidiaries, and the VIEs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our Company, our subsidiaries, and the VIEs have not distributed any earnings or settled any amounts owed under the VIE Agreements. Our Company, our subsidiaries, and the VIEs do not have any plan to distribute earnings or settle amounts owed under the VIE Agreements in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is directly supervising cash management. Our finance department is responsible for establishing the cash management policies and procedures among our departments and the operating entities. Each department or operating entity initiates a cash request by putting forward a cash demand plan, which explains the specific amount and timing of cash requested, and submitting it to designated management members of our Company, based on the amount and the use of cash requested. The designated management member examines and approves the allocation of cash based on the sources of cash and the priorities of the needs and submit it to the cashier specialists of our finance department for a second review. Other than the above, as of the date of this annual report, we do not have other cash management policies or procedures that dictate how funds are transferred nor a written policy that addresses how we will handle any limitations on cash transfers due to PRC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2025, 2024, and 2023, cash transfers and transfers of other assets between our Company, our subsidiaries, and the VIEs were as follows:</w:t>
      </w:r>
    </w:p>
    <w:p>
      <w:pPr>
        <w:pStyle w:val="TextBody"/>
        <w:bidi w:val="0"/>
        <w:spacing w:before="0" w:after="0"/>
        <w:ind w:left="0" w:right="0" w:hanging="0"/>
        <w:jc w:val="both"/>
        <w:rPr>
          <w:caps w:val="false"/>
          <w:smallCaps w:val="false"/>
        </w:rPr>
      </w:pPr>
      <w:r>
        <w:rPr>
          <w:caps w:val="false"/>
          <w:smallCaps w:val="false"/>
        </w:rPr>
        <w:t> </w:t>
      </w:r>
    </w:p>
    <w:tbl>
      <w:tblPr>
        <w:tblW w:w="9385" w:type="dxa"/>
        <w:jc w:val="left"/>
        <w:tblInd w:w="0" w:type="dxa"/>
        <w:tblLayout w:type="fixed"/>
        <w:tblCellMar>
          <w:top w:w="0" w:type="dxa"/>
          <w:left w:w="0" w:type="dxa"/>
          <w:bottom w:w="28" w:type="dxa"/>
          <w:right w:w="0" w:type="dxa"/>
        </w:tblCellMar>
      </w:tblPr>
      <w:tblGrid>
        <w:gridCol w:w="425"/>
        <w:gridCol w:w="90"/>
        <w:gridCol w:w="2300"/>
        <w:gridCol w:w="90"/>
        <w:gridCol w:w="2300"/>
        <w:gridCol w:w="90"/>
        <w:gridCol w:w="114"/>
        <w:gridCol w:w="1286"/>
        <w:gridCol w:w="90"/>
        <w:gridCol w:w="90"/>
        <w:gridCol w:w="2510"/>
      </w:tblGrid>
      <w:tr>
        <w:trPr/>
        <w:tc>
          <w:tcPr>
            <w:tcW w:w="9385" w:type="dxa"/>
            <w:gridSpan w:val="11"/>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 Ended December 31, 2025</w:t>
            </w:r>
          </w:p>
        </w:tc>
      </w:tr>
      <w:tr>
        <w:trPr/>
        <w:tc>
          <w:tcPr>
            <w:tcW w:w="425"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No.</w:t>
            </w:r>
          </w:p>
        </w:tc>
        <w:tc>
          <w:tcPr>
            <w:tcW w:w="90" w:type="dxa"/>
            <w:tcBorders/>
            <w:tcMar>
              <w:bottom w:w="0" w:type="dxa"/>
            </w:tcMar>
            <w:vAlign w:val="center"/>
          </w:tcPr>
          <w:p>
            <w:pPr>
              <w:pStyle w:val="TableContents"/>
              <w:bidi w:val="0"/>
              <w:spacing w:before="0" w:after="283"/>
              <w:jc w:val="left"/>
              <w:rPr/>
            </w:pPr>
            <w:r>
              <w:rPr/>
              <w:t> </w:t>
            </w:r>
          </w:p>
        </w:tc>
        <w:tc>
          <w:tcPr>
            <w:tcW w:w="2300"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Transfer From</w:t>
            </w:r>
          </w:p>
        </w:tc>
        <w:tc>
          <w:tcPr>
            <w:tcW w:w="90" w:type="dxa"/>
            <w:tcBorders/>
            <w:tcMar>
              <w:bottom w:w="0" w:type="dxa"/>
            </w:tcMar>
            <w:vAlign w:val="center"/>
          </w:tcPr>
          <w:p>
            <w:pPr>
              <w:pStyle w:val="TableContents"/>
              <w:bidi w:val="0"/>
              <w:spacing w:before="0" w:after="283"/>
              <w:jc w:val="left"/>
              <w:rPr/>
            </w:pPr>
            <w:r>
              <w:rPr/>
              <w:t> </w:t>
            </w:r>
          </w:p>
        </w:tc>
        <w:tc>
          <w:tcPr>
            <w:tcW w:w="2300"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Transfer To</w:t>
            </w:r>
          </w:p>
        </w:tc>
        <w:tc>
          <w:tcPr>
            <w:tcW w:w="90" w:type="dxa"/>
            <w:tcBorders/>
            <w:tcMar>
              <w:bottom w:w="0" w:type="dxa"/>
            </w:tcMar>
            <w:vAlign w:val="center"/>
          </w:tcPr>
          <w:p>
            <w:pPr>
              <w:pStyle w:val="TableContents"/>
              <w:bidi w:val="0"/>
              <w:spacing w:before="0" w:after="283"/>
              <w:jc w:val="left"/>
              <w:rPr/>
            </w:pPr>
            <w:r>
              <w:rPr/>
              <w:t> </w:t>
            </w:r>
          </w:p>
        </w:tc>
        <w:tc>
          <w:tcPr>
            <w:tcW w:w="140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Approximate</w:t>
              <w:br/>
              <w:t>Value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10" w:type="dxa"/>
            <w:tcBorders>
              <w:bottom w:val="single" w:sz="12" w:space="0" w:color="000000"/>
            </w:tcBorders>
            <w:vAlign w:val="center"/>
          </w:tcPr>
          <w:p>
            <w:pPr>
              <w:pStyle w:val="TableContents"/>
              <w:bidi w:val="0"/>
              <w:spacing w:before="0" w:after="283"/>
              <w:jc w:val="center"/>
              <w:rPr/>
            </w:pPr>
            <w:r>
              <w:rPr/>
              <w:t>  </w:t>
            </w:r>
            <w:r>
              <w:rPr>
                <w:rFonts w:ascii="Times New Roman;Times;Serif" w:hAnsi="Times New Roman;Times;Serif"/>
                <w:b/>
                <w:sz w:val="20"/>
              </w:rPr>
              <w:t>Note</w:t>
            </w:r>
          </w:p>
        </w:tc>
      </w:tr>
      <w:tr>
        <w:trPr/>
        <w:tc>
          <w:tcPr>
            <w:tcW w:w="42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0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Xinjiang United Family</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0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28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2,252,307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(as working capital)</w:t>
            </w:r>
          </w:p>
        </w:tc>
      </w:tr>
      <w:tr>
        <w:trPr/>
        <w:tc>
          <w:tcPr>
            <w:tcW w:w="425"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w:t>
            </w:r>
          </w:p>
        </w:tc>
        <w:tc>
          <w:tcPr>
            <w:tcW w:w="90" w:type="dxa"/>
            <w:tcBorders/>
            <w:tcMar>
              <w:bottom w:w="0" w:type="dxa"/>
            </w:tcMar>
            <w:vAlign w:val="center"/>
          </w:tcPr>
          <w:p>
            <w:pPr>
              <w:pStyle w:val="TableContents"/>
              <w:bidi w:val="0"/>
              <w:spacing w:before="0" w:after="283"/>
              <w:jc w:val="left"/>
              <w:rPr/>
            </w:pPr>
            <w:r>
              <w:rPr/>
              <w:t> </w:t>
            </w:r>
          </w:p>
        </w:tc>
        <w:tc>
          <w:tcPr>
            <w:tcW w:w="230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VIEs</w:t>
            </w:r>
          </w:p>
        </w:tc>
        <w:tc>
          <w:tcPr>
            <w:tcW w:w="90" w:type="dxa"/>
            <w:tcBorders/>
            <w:tcMar>
              <w:bottom w:w="0" w:type="dxa"/>
            </w:tcMar>
            <w:vAlign w:val="center"/>
          </w:tcPr>
          <w:p>
            <w:pPr>
              <w:pStyle w:val="TableContents"/>
              <w:bidi w:val="0"/>
              <w:spacing w:before="0" w:after="283"/>
              <w:jc w:val="left"/>
              <w:rPr/>
            </w:pPr>
            <w:r>
              <w:rPr/>
              <w:t> </w:t>
            </w:r>
          </w:p>
        </w:tc>
        <w:tc>
          <w:tcPr>
            <w:tcW w:w="230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Xinjiang United Family</w:t>
            </w:r>
          </w:p>
        </w:tc>
        <w:tc>
          <w:tcPr>
            <w:tcW w:w="90" w:type="dxa"/>
            <w:tcBorders/>
            <w:tcMar>
              <w:bottom w:w="0" w:type="dxa"/>
            </w:tcMar>
            <w:vAlign w:val="center"/>
          </w:tcPr>
          <w:p>
            <w:pPr>
              <w:pStyle w:val="TableContents"/>
              <w:bidi w:val="0"/>
              <w:spacing w:before="0" w:after="283"/>
              <w:jc w:val="left"/>
              <w:rPr/>
            </w:pPr>
            <w:r>
              <w:rPr/>
              <w:t> </w:t>
            </w:r>
          </w:p>
        </w:tc>
        <w:tc>
          <w:tcPr>
            <w:tcW w:w="114" w:type="dxa"/>
            <w:tcBorders/>
            <w:tcMar>
              <w:bottom w:w="0" w:type="dxa"/>
            </w:tcMar>
            <w:vAlign w:val="center"/>
          </w:tcPr>
          <w:p>
            <w:pPr>
              <w:pStyle w:val="TableContents"/>
              <w:bidi w:val="0"/>
              <w:spacing w:before="0" w:after="283"/>
              <w:jc w:val="left"/>
              <w:rPr/>
            </w:pPr>
            <w:r>
              <w:rPr/>
              <w:t> </w:t>
            </w:r>
          </w:p>
        </w:tc>
        <w:tc>
          <w:tcPr>
            <w:tcW w:w="1286"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18,989</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1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Raw materials</w:t>
            </w:r>
          </w:p>
        </w:tc>
      </w:tr>
      <w:tr>
        <w:trPr/>
        <w:tc>
          <w:tcPr>
            <w:tcW w:w="42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0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Xinjiang United Family</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0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28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1,699,227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Raw materials</w:t>
            </w:r>
          </w:p>
        </w:tc>
      </w:tr>
      <w:tr>
        <w:trPr/>
        <w:tc>
          <w:tcPr>
            <w:tcW w:w="425"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w:t>
            </w:r>
          </w:p>
        </w:tc>
        <w:tc>
          <w:tcPr>
            <w:tcW w:w="90" w:type="dxa"/>
            <w:tcBorders/>
            <w:tcMar>
              <w:bottom w:w="0" w:type="dxa"/>
            </w:tcMar>
            <w:vAlign w:val="center"/>
          </w:tcPr>
          <w:p>
            <w:pPr>
              <w:pStyle w:val="TableContents"/>
              <w:bidi w:val="0"/>
              <w:spacing w:before="0" w:after="283"/>
              <w:jc w:val="left"/>
              <w:rPr/>
            </w:pPr>
            <w:r>
              <w:rPr/>
              <w:t> </w:t>
            </w:r>
          </w:p>
        </w:tc>
        <w:tc>
          <w:tcPr>
            <w:tcW w:w="230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Xinjiang United Family</w:t>
            </w:r>
          </w:p>
        </w:tc>
        <w:tc>
          <w:tcPr>
            <w:tcW w:w="90" w:type="dxa"/>
            <w:tcBorders/>
            <w:tcMar>
              <w:bottom w:w="0" w:type="dxa"/>
            </w:tcMar>
            <w:vAlign w:val="center"/>
          </w:tcPr>
          <w:p>
            <w:pPr>
              <w:pStyle w:val="TableContents"/>
              <w:bidi w:val="0"/>
              <w:spacing w:before="0" w:after="283"/>
              <w:jc w:val="left"/>
              <w:rPr/>
            </w:pPr>
            <w:r>
              <w:rPr/>
              <w:t> </w:t>
            </w:r>
          </w:p>
        </w:tc>
        <w:tc>
          <w:tcPr>
            <w:tcW w:w="230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VIEs</w:t>
            </w:r>
          </w:p>
        </w:tc>
        <w:tc>
          <w:tcPr>
            <w:tcW w:w="90" w:type="dxa"/>
            <w:tcBorders/>
            <w:tcMar>
              <w:bottom w:w="0" w:type="dxa"/>
            </w:tcMar>
            <w:vAlign w:val="center"/>
          </w:tcPr>
          <w:p>
            <w:pPr>
              <w:pStyle w:val="TableContents"/>
              <w:bidi w:val="0"/>
              <w:spacing w:before="0" w:after="283"/>
              <w:jc w:val="left"/>
              <w:rPr/>
            </w:pPr>
            <w:r>
              <w:rPr/>
              <w:t> </w:t>
            </w:r>
          </w:p>
        </w:tc>
        <w:tc>
          <w:tcPr>
            <w:tcW w:w="114" w:type="dxa"/>
            <w:tcBorders/>
            <w:tcMar>
              <w:bottom w:w="0" w:type="dxa"/>
            </w:tcMar>
            <w:vAlign w:val="center"/>
          </w:tcPr>
          <w:p>
            <w:pPr>
              <w:pStyle w:val="TableContents"/>
              <w:bidi w:val="0"/>
              <w:spacing w:before="0" w:after="283"/>
              <w:jc w:val="left"/>
              <w:rPr/>
            </w:pPr>
            <w:r>
              <w:rPr/>
              <w:t> </w:t>
            </w:r>
          </w:p>
        </w:tc>
        <w:tc>
          <w:tcPr>
            <w:tcW w:w="1286"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3,632,788</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1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Products</w:t>
            </w:r>
          </w:p>
        </w:tc>
      </w:tr>
      <w:tr>
        <w:trPr/>
        <w:tc>
          <w:tcPr>
            <w:tcW w:w="42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0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0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Xinjiang United Family</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28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491,396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Products</w:t>
            </w:r>
          </w:p>
        </w:tc>
      </w:tr>
    </w:tbl>
    <w:p>
      <w:pPr>
        <w:pStyle w:val="TextBody"/>
        <w:bidi w:val="0"/>
        <w:spacing w:before="0" w:after="0"/>
        <w:ind w:left="0" w:right="0" w:hanging="0"/>
        <w:jc w:val="both"/>
        <w:rPr>
          <w:caps w:val="false"/>
          <w:smallCaps w:val="false"/>
        </w:rPr>
      </w:pPr>
      <w:r>
        <w:rPr>
          <w:caps w:val="false"/>
          <w:smallCaps w:val="false"/>
        </w:rPr>
        <w:t>  </w:t>
      </w:r>
    </w:p>
    <w:tbl>
      <w:tblPr>
        <w:tblW w:w="9385" w:type="dxa"/>
        <w:jc w:val="left"/>
        <w:tblInd w:w="0" w:type="dxa"/>
        <w:tblLayout w:type="fixed"/>
        <w:tblCellMar>
          <w:top w:w="0" w:type="dxa"/>
          <w:left w:w="0" w:type="dxa"/>
          <w:bottom w:w="28" w:type="dxa"/>
          <w:right w:w="0" w:type="dxa"/>
        </w:tblCellMar>
      </w:tblPr>
      <w:tblGrid>
        <w:gridCol w:w="425"/>
        <w:gridCol w:w="90"/>
        <w:gridCol w:w="2300"/>
        <w:gridCol w:w="90"/>
        <w:gridCol w:w="2300"/>
        <w:gridCol w:w="90"/>
        <w:gridCol w:w="114"/>
        <w:gridCol w:w="1286"/>
        <w:gridCol w:w="90"/>
        <w:gridCol w:w="90"/>
        <w:gridCol w:w="2510"/>
      </w:tblGrid>
      <w:tr>
        <w:trPr/>
        <w:tc>
          <w:tcPr>
            <w:tcW w:w="9385" w:type="dxa"/>
            <w:gridSpan w:val="11"/>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 Ended December 31, 2024</w:t>
            </w:r>
          </w:p>
        </w:tc>
      </w:tr>
      <w:tr>
        <w:trPr/>
        <w:tc>
          <w:tcPr>
            <w:tcW w:w="425"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No.</w:t>
            </w:r>
          </w:p>
        </w:tc>
        <w:tc>
          <w:tcPr>
            <w:tcW w:w="90" w:type="dxa"/>
            <w:tcBorders/>
            <w:tcMar>
              <w:bottom w:w="0" w:type="dxa"/>
            </w:tcMar>
            <w:vAlign w:val="center"/>
          </w:tcPr>
          <w:p>
            <w:pPr>
              <w:pStyle w:val="TableContents"/>
              <w:bidi w:val="0"/>
              <w:spacing w:before="0" w:after="283"/>
              <w:jc w:val="left"/>
              <w:rPr/>
            </w:pPr>
            <w:r>
              <w:rPr/>
              <w:t> </w:t>
            </w:r>
          </w:p>
        </w:tc>
        <w:tc>
          <w:tcPr>
            <w:tcW w:w="2300"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Transfer From</w:t>
            </w:r>
          </w:p>
        </w:tc>
        <w:tc>
          <w:tcPr>
            <w:tcW w:w="90" w:type="dxa"/>
            <w:tcBorders/>
            <w:tcMar>
              <w:bottom w:w="0" w:type="dxa"/>
            </w:tcMar>
            <w:vAlign w:val="center"/>
          </w:tcPr>
          <w:p>
            <w:pPr>
              <w:pStyle w:val="TableContents"/>
              <w:bidi w:val="0"/>
              <w:spacing w:before="0" w:after="283"/>
              <w:jc w:val="left"/>
              <w:rPr/>
            </w:pPr>
            <w:r>
              <w:rPr/>
              <w:t> </w:t>
            </w:r>
          </w:p>
        </w:tc>
        <w:tc>
          <w:tcPr>
            <w:tcW w:w="2300"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Transfer To</w:t>
            </w:r>
          </w:p>
        </w:tc>
        <w:tc>
          <w:tcPr>
            <w:tcW w:w="90" w:type="dxa"/>
            <w:tcBorders/>
            <w:tcMar>
              <w:bottom w:w="0" w:type="dxa"/>
            </w:tcMar>
            <w:vAlign w:val="center"/>
          </w:tcPr>
          <w:p>
            <w:pPr>
              <w:pStyle w:val="TableContents"/>
              <w:bidi w:val="0"/>
              <w:spacing w:before="0" w:after="283"/>
              <w:jc w:val="left"/>
              <w:rPr/>
            </w:pPr>
            <w:r>
              <w:rPr/>
              <w:t> </w:t>
            </w:r>
          </w:p>
        </w:tc>
        <w:tc>
          <w:tcPr>
            <w:tcW w:w="140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Approximate</w:t>
              <w:br/>
              <w:t>Value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10"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Note</w:t>
            </w:r>
          </w:p>
        </w:tc>
      </w:tr>
      <w:tr>
        <w:trPr/>
        <w:tc>
          <w:tcPr>
            <w:tcW w:w="42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0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Xinjiang United Family</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0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28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661,983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(as working capital)</w:t>
            </w:r>
          </w:p>
        </w:tc>
      </w:tr>
      <w:tr>
        <w:trPr/>
        <w:tc>
          <w:tcPr>
            <w:tcW w:w="425"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w:t>
            </w:r>
          </w:p>
        </w:tc>
        <w:tc>
          <w:tcPr>
            <w:tcW w:w="90" w:type="dxa"/>
            <w:tcBorders/>
            <w:tcMar>
              <w:bottom w:w="0" w:type="dxa"/>
            </w:tcMar>
            <w:vAlign w:val="center"/>
          </w:tcPr>
          <w:p>
            <w:pPr>
              <w:pStyle w:val="TableContents"/>
              <w:bidi w:val="0"/>
              <w:spacing w:before="0" w:after="283"/>
              <w:jc w:val="left"/>
              <w:rPr/>
            </w:pPr>
            <w:r>
              <w:rPr/>
              <w:t> </w:t>
            </w:r>
          </w:p>
        </w:tc>
        <w:tc>
          <w:tcPr>
            <w:tcW w:w="230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VIEs</w:t>
            </w:r>
          </w:p>
        </w:tc>
        <w:tc>
          <w:tcPr>
            <w:tcW w:w="90" w:type="dxa"/>
            <w:tcBorders/>
            <w:tcMar>
              <w:bottom w:w="0" w:type="dxa"/>
            </w:tcMar>
            <w:vAlign w:val="center"/>
          </w:tcPr>
          <w:p>
            <w:pPr>
              <w:pStyle w:val="TableContents"/>
              <w:bidi w:val="0"/>
              <w:spacing w:before="0" w:after="283"/>
              <w:jc w:val="left"/>
              <w:rPr/>
            </w:pPr>
            <w:r>
              <w:rPr/>
              <w:t> </w:t>
            </w:r>
          </w:p>
        </w:tc>
        <w:tc>
          <w:tcPr>
            <w:tcW w:w="230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Xinjiang United Family</w:t>
            </w:r>
          </w:p>
        </w:tc>
        <w:tc>
          <w:tcPr>
            <w:tcW w:w="90" w:type="dxa"/>
            <w:tcBorders/>
            <w:tcMar>
              <w:bottom w:w="0" w:type="dxa"/>
            </w:tcMar>
            <w:vAlign w:val="center"/>
          </w:tcPr>
          <w:p>
            <w:pPr>
              <w:pStyle w:val="TableContents"/>
              <w:bidi w:val="0"/>
              <w:spacing w:before="0" w:after="283"/>
              <w:jc w:val="left"/>
              <w:rPr/>
            </w:pPr>
            <w:r>
              <w:rPr/>
              <w:t> </w:t>
            </w:r>
          </w:p>
        </w:tc>
        <w:tc>
          <w:tcPr>
            <w:tcW w:w="114" w:type="dxa"/>
            <w:tcBorders/>
            <w:tcMar>
              <w:bottom w:w="0" w:type="dxa"/>
            </w:tcMar>
            <w:vAlign w:val="center"/>
          </w:tcPr>
          <w:p>
            <w:pPr>
              <w:pStyle w:val="TableContents"/>
              <w:bidi w:val="0"/>
              <w:spacing w:before="0" w:after="283"/>
              <w:jc w:val="left"/>
              <w:rPr/>
            </w:pPr>
            <w:r>
              <w:rPr/>
              <w:t> </w:t>
            </w:r>
          </w:p>
        </w:tc>
        <w:tc>
          <w:tcPr>
            <w:tcW w:w="1286"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4,197,240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1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Raw materials</w:t>
            </w:r>
          </w:p>
        </w:tc>
      </w:tr>
      <w:tr>
        <w:trPr/>
        <w:tc>
          <w:tcPr>
            <w:tcW w:w="42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0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Xinjiang United Family</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0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28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1,603,664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Raw materials</w:t>
            </w:r>
          </w:p>
        </w:tc>
      </w:tr>
      <w:tr>
        <w:trPr/>
        <w:tc>
          <w:tcPr>
            <w:tcW w:w="425"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w:t>
            </w:r>
          </w:p>
        </w:tc>
        <w:tc>
          <w:tcPr>
            <w:tcW w:w="90" w:type="dxa"/>
            <w:tcBorders/>
            <w:tcMar>
              <w:bottom w:w="0" w:type="dxa"/>
            </w:tcMar>
            <w:vAlign w:val="center"/>
          </w:tcPr>
          <w:p>
            <w:pPr>
              <w:pStyle w:val="TableContents"/>
              <w:bidi w:val="0"/>
              <w:spacing w:before="0" w:after="283"/>
              <w:jc w:val="left"/>
              <w:rPr/>
            </w:pPr>
            <w:r>
              <w:rPr/>
              <w:t> </w:t>
            </w:r>
          </w:p>
        </w:tc>
        <w:tc>
          <w:tcPr>
            <w:tcW w:w="230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Xinjiang United Family</w:t>
            </w:r>
          </w:p>
        </w:tc>
        <w:tc>
          <w:tcPr>
            <w:tcW w:w="90" w:type="dxa"/>
            <w:tcBorders/>
            <w:tcMar>
              <w:bottom w:w="0" w:type="dxa"/>
            </w:tcMar>
            <w:vAlign w:val="center"/>
          </w:tcPr>
          <w:p>
            <w:pPr>
              <w:pStyle w:val="TableContents"/>
              <w:bidi w:val="0"/>
              <w:spacing w:before="0" w:after="283"/>
              <w:jc w:val="left"/>
              <w:rPr/>
            </w:pPr>
            <w:r>
              <w:rPr/>
              <w:t> </w:t>
            </w:r>
          </w:p>
        </w:tc>
        <w:tc>
          <w:tcPr>
            <w:tcW w:w="230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VIEs</w:t>
            </w:r>
          </w:p>
        </w:tc>
        <w:tc>
          <w:tcPr>
            <w:tcW w:w="90" w:type="dxa"/>
            <w:tcBorders/>
            <w:tcMar>
              <w:bottom w:w="0" w:type="dxa"/>
            </w:tcMar>
            <w:vAlign w:val="center"/>
          </w:tcPr>
          <w:p>
            <w:pPr>
              <w:pStyle w:val="TableContents"/>
              <w:bidi w:val="0"/>
              <w:spacing w:before="0" w:after="283"/>
              <w:jc w:val="left"/>
              <w:rPr/>
            </w:pPr>
            <w:r>
              <w:rPr/>
              <w:t> </w:t>
            </w:r>
          </w:p>
        </w:tc>
        <w:tc>
          <w:tcPr>
            <w:tcW w:w="114" w:type="dxa"/>
            <w:tcBorders/>
            <w:tcMar>
              <w:bottom w:w="0" w:type="dxa"/>
            </w:tcMar>
            <w:vAlign w:val="center"/>
          </w:tcPr>
          <w:p>
            <w:pPr>
              <w:pStyle w:val="TableContents"/>
              <w:bidi w:val="0"/>
              <w:spacing w:before="0" w:after="283"/>
              <w:jc w:val="left"/>
              <w:rPr/>
            </w:pPr>
            <w:r>
              <w:rPr/>
              <w:t> </w:t>
            </w:r>
          </w:p>
        </w:tc>
        <w:tc>
          <w:tcPr>
            <w:tcW w:w="1286"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2,983,019</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1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Products</w:t>
            </w:r>
          </w:p>
        </w:tc>
      </w:tr>
    </w:tbl>
    <w:p>
      <w:pPr>
        <w:pStyle w:val="TextBody"/>
        <w:bidi w:val="0"/>
        <w:spacing w:before="0" w:after="0"/>
        <w:ind w:left="0" w:right="0" w:hanging="0"/>
        <w:jc w:val="left"/>
        <w:rPr>
          <w:caps w:val="false"/>
          <w:smallCaps w:val="false"/>
        </w:rPr>
      </w:pPr>
      <w:r>
        <w:rPr>
          <w:caps w:val="false"/>
          <w:smallCaps w:val="false"/>
        </w:rPr>
        <w:t> </w:t>
      </w:r>
    </w:p>
    <w:tbl>
      <w:tblPr>
        <w:tblW w:w="9385" w:type="dxa"/>
        <w:jc w:val="left"/>
        <w:tblInd w:w="0" w:type="dxa"/>
        <w:tblLayout w:type="fixed"/>
        <w:tblCellMar>
          <w:top w:w="0" w:type="dxa"/>
          <w:left w:w="0" w:type="dxa"/>
          <w:bottom w:w="28" w:type="dxa"/>
          <w:right w:w="0" w:type="dxa"/>
        </w:tblCellMar>
      </w:tblPr>
      <w:tblGrid>
        <w:gridCol w:w="425"/>
        <w:gridCol w:w="90"/>
        <w:gridCol w:w="2300"/>
        <w:gridCol w:w="90"/>
        <w:gridCol w:w="2300"/>
        <w:gridCol w:w="90"/>
        <w:gridCol w:w="114"/>
        <w:gridCol w:w="1286"/>
        <w:gridCol w:w="90"/>
        <w:gridCol w:w="90"/>
        <w:gridCol w:w="2510"/>
      </w:tblGrid>
      <w:tr>
        <w:trPr/>
        <w:tc>
          <w:tcPr>
            <w:tcW w:w="9385" w:type="dxa"/>
            <w:gridSpan w:val="11"/>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 Ended December 31, 2023</w:t>
            </w:r>
          </w:p>
        </w:tc>
      </w:tr>
      <w:tr>
        <w:trPr/>
        <w:tc>
          <w:tcPr>
            <w:tcW w:w="425"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No.</w:t>
            </w:r>
          </w:p>
        </w:tc>
        <w:tc>
          <w:tcPr>
            <w:tcW w:w="90" w:type="dxa"/>
            <w:tcBorders/>
            <w:tcMar>
              <w:bottom w:w="0" w:type="dxa"/>
            </w:tcMar>
            <w:vAlign w:val="center"/>
          </w:tcPr>
          <w:p>
            <w:pPr>
              <w:pStyle w:val="TableContents"/>
              <w:bidi w:val="0"/>
              <w:spacing w:before="0" w:after="283"/>
              <w:jc w:val="left"/>
              <w:rPr/>
            </w:pPr>
            <w:r>
              <w:rPr/>
              <w:t> </w:t>
            </w:r>
          </w:p>
        </w:tc>
        <w:tc>
          <w:tcPr>
            <w:tcW w:w="2300"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Transfer From</w:t>
            </w:r>
          </w:p>
        </w:tc>
        <w:tc>
          <w:tcPr>
            <w:tcW w:w="90" w:type="dxa"/>
            <w:tcBorders/>
            <w:tcMar>
              <w:bottom w:w="0" w:type="dxa"/>
            </w:tcMar>
            <w:vAlign w:val="center"/>
          </w:tcPr>
          <w:p>
            <w:pPr>
              <w:pStyle w:val="TableContents"/>
              <w:bidi w:val="0"/>
              <w:spacing w:before="0" w:after="283"/>
              <w:jc w:val="left"/>
              <w:rPr/>
            </w:pPr>
            <w:r>
              <w:rPr/>
              <w:t> </w:t>
            </w:r>
          </w:p>
        </w:tc>
        <w:tc>
          <w:tcPr>
            <w:tcW w:w="2300"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Transfer To</w:t>
            </w:r>
          </w:p>
        </w:tc>
        <w:tc>
          <w:tcPr>
            <w:tcW w:w="90" w:type="dxa"/>
            <w:tcBorders/>
            <w:tcMar>
              <w:bottom w:w="0" w:type="dxa"/>
            </w:tcMar>
            <w:vAlign w:val="center"/>
          </w:tcPr>
          <w:p>
            <w:pPr>
              <w:pStyle w:val="TableContents"/>
              <w:bidi w:val="0"/>
              <w:spacing w:before="0" w:after="283"/>
              <w:jc w:val="left"/>
              <w:rPr/>
            </w:pPr>
            <w:r>
              <w:rPr/>
              <w:t> </w:t>
            </w:r>
          </w:p>
        </w:tc>
        <w:tc>
          <w:tcPr>
            <w:tcW w:w="140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Approximate</w:t>
              <w:br/>
              <w:t>Value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10"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Note</w:t>
            </w:r>
          </w:p>
        </w:tc>
      </w:tr>
      <w:tr>
        <w:trPr/>
        <w:tc>
          <w:tcPr>
            <w:tcW w:w="42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0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0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Xinjiang United Family</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28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1,542,178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(as working capital)</w:t>
            </w:r>
          </w:p>
        </w:tc>
      </w:tr>
      <w:tr>
        <w:trPr/>
        <w:tc>
          <w:tcPr>
            <w:tcW w:w="425"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w:t>
            </w:r>
          </w:p>
        </w:tc>
        <w:tc>
          <w:tcPr>
            <w:tcW w:w="90" w:type="dxa"/>
            <w:tcBorders/>
            <w:tcMar>
              <w:bottom w:w="0" w:type="dxa"/>
            </w:tcMar>
            <w:vAlign w:val="center"/>
          </w:tcPr>
          <w:p>
            <w:pPr>
              <w:pStyle w:val="TableContents"/>
              <w:bidi w:val="0"/>
              <w:spacing w:before="0" w:after="283"/>
              <w:jc w:val="left"/>
              <w:rPr/>
            </w:pPr>
            <w:r>
              <w:rPr/>
              <w:t> </w:t>
            </w:r>
          </w:p>
        </w:tc>
        <w:tc>
          <w:tcPr>
            <w:tcW w:w="230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VIEs</w:t>
            </w:r>
          </w:p>
        </w:tc>
        <w:tc>
          <w:tcPr>
            <w:tcW w:w="90" w:type="dxa"/>
            <w:tcBorders/>
            <w:tcMar>
              <w:bottom w:w="0" w:type="dxa"/>
            </w:tcMar>
            <w:vAlign w:val="center"/>
          </w:tcPr>
          <w:p>
            <w:pPr>
              <w:pStyle w:val="TableContents"/>
              <w:bidi w:val="0"/>
              <w:spacing w:before="0" w:after="283"/>
              <w:jc w:val="left"/>
              <w:rPr/>
            </w:pPr>
            <w:r>
              <w:rPr/>
              <w:t> </w:t>
            </w:r>
          </w:p>
        </w:tc>
        <w:tc>
          <w:tcPr>
            <w:tcW w:w="230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Xinjiang United Family</w:t>
            </w:r>
          </w:p>
        </w:tc>
        <w:tc>
          <w:tcPr>
            <w:tcW w:w="90" w:type="dxa"/>
            <w:tcBorders/>
            <w:tcMar>
              <w:bottom w:w="0" w:type="dxa"/>
            </w:tcMar>
            <w:vAlign w:val="center"/>
          </w:tcPr>
          <w:p>
            <w:pPr>
              <w:pStyle w:val="TableContents"/>
              <w:bidi w:val="0"/>
              <w:spacing w:before="0" w:after="283"/>
              <w:jc w:val="left"/>
              <w:rPr/>
            </w:pPr>
            <w:r>
              <w:rPr/>
              <w:t> </w:t>
            </w:r>
          </w:p>
        </w:tc>
        <w:tc>
          <w:tcPr>
            <w:tcW w:w="114" w:type="dxa"/>
            <w:tcBorders/>
            <w:tcMar>
              <w:bottom w:w="0" w:type="dxa"/>
            </w:tcMar>
            <w:vAlign w:val="center"/>
          </w:tcPr>
          <w:p>
            <w:pPr>
              <w:pStyle w:val="TableContents"/>
              <w:bidi w:val="0"/>
              <w:spacing w:before="0" w:after="283"/>
              <w:jc w:val="left"/>
              <w:rPr/>
            </w:pPr>
            <w:r>
              <w:rPr/>
              <w:t> </w:t>
            </w:r>
          </w:p>
        </w:tc>
        <w:tc>
          <w:tcPr>
            <w:tcW w:w="1286"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1,400,536</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1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Raw materials</w:t>
            </w:r>
          </w:p>
        </w:tc>
      </w:tr>
      <w:tr>
        <w:trPr/>
        <w:tc>
          <w:tcPr>
            <w:tcW w:w="42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0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Xinjiang United Family</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0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28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1,845,098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Raw materials</w:t>
            </w:r>
          </w:p>
        </w:tc>
      </w:tr>
      <w:tr>
        <w:trPr/>
        <w:tc>
          <w:tcPr>
            <w:tcW w:w="425"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w:t>
            </w:r>
          </w:p>
        </w:tc>
        <w:tc>
          <w:tcPr>
            <w:tcW w:w="90" w:type="dxa"/>
            <w:tcBorders/>
            <w:tcMar>
              <w:bottom w:w="0" w:type="dxa"/>
            </w:tcMar>
            <w:vAlign w:val="center"/>
          </w:tcPr>
          <w:p>
            <w:pPr>
              <w:pStyle w:val="TableContents"/>
              <w:bidi w:val="0"/>
              <w:spacing w:before="0" w:after="283"/>
              <w:jc w:val="left"/>
              <w:rPr/>
            </w:pPr>
            <w:r>
              <w:rPr/>
              <w:t> </w:t>
            </w:r>
          </w:p>
        </w:tc>
        <w:tc>
          <w:tcPr>
            <w:tcW w:w="230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Xinjiang United Family</w:t>
            </w:r>
          </w:p>
        </w:tc>
        <w:tc>
          <w:tcPr>
            <w:tcW w:w="90" w:type="dxa"/>
            <w:tcBorders/>
            <w:tcMar>
              <w:bottom w:w="0" w:type="dxa"/>
            </w:tcMar>
            <w:vAlign w:val="center"/>
          </w:tcPr>
          <w:p>
            <w:pPr>
              <w:pStyle w:val="TableContents"/>
              <w:bidi w:val="0"/>
              <w:spacing w:before="0" w:after="283"/>
              <w:jc w:val="left"/>
              <w:rPr/>
            </w:pPr>
            <w:r>
              <w:rPr/>
              <w:t> </w:t>
            </w:r>
          </w:p>
        </w:tc>
        <w:tc>
          <w:tcPr>
            <w:tcW w:w="230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VIEs</w:t>
            </w:r>
          </w:p>
        </w:tc>
        <w:tc>
          <w:tcPr>
            <w:tcW w:w="90" w:type="dxa"/>
            <w:tcBorders/>
            <w:tcMar>
              <w:bottom w:w="0" w:type="dxa"/>
            </w:tcMar>
            <w:vAlign w:val="center"/>
          </w:tcPr>
          <w:p>
            <w:pPr>
              <w:pStyle w:val="TableContents"/>
              <w:bidi w:val="0"/>
              <w:spacing w:before="0" w:after="283"/>
              <w:jc w:val="left"/>
              <w:rPr/>
            </w:pPr>
            <w:r>
              <w:rPr/>
              <w:t> </w:t>
            </w:r>
          </w:p>
        </w:tc>
        <w:tc>
          <w:tcPr>
            <w:tcW w:w="114" w:type="dxa"/>
            <w:tcBorders/>
            <w:tcMar>
              <w:bottom w:w="0" w:type="dxa"/>
            </w:tcMar>
            <w:vAlign w:val="center"/>
          </w:tcPr>
          <w:p>
            <w:pPr>
              <w:pStyle w:val="TableContents"/>
              <w:bidi w:val="0"/>
              <w:spacing w:before="0" w:after="283"/>
              <w:jc w:val="left"/>
              <w:rPr/>
            </w:pPr>
            <w:r>
              <w:rPr/>
              <w:t> </w:t>
            </w:r>
          </w:p>
        </w:tc>
        <w:tc>
          <w:tcPr>
            <w:tcW w:w="1286"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3,413,933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1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Products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 or Distributions Made to our Company and U.S. Investors and Tax Consequences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none of our subsidiaries or VIEs has made any dividends or distributions to our Company and our Company has not made any dividends or distributions to our shareholders. We intend to keep any future earnings to finance the expansion of our business, and we do not anticipate that any cash dividends will be paid in the foreseeable future. Subject to the passive foreign investment company (“PFIC”) rules, the gross amount of distributions we make to investors with respect to our Class A Ordinary Shares (including the amount of any taxes withheld therefrom) will be taxable as a dividend, to the extent that the distribution is paid out of our current or accumulated earnings and profits, as determined under U.S. federal income tax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Cayman Islands law, a Cayman Islands company may pay a dividend on its shares out of either profit or share premium amount, provided that in no circumstances may a dividend be paid if this would result in the company being unable to pay its debts due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determine to pay dividends on any of our Class A Ordinary Shares or Class B Ordinary Shares in the future, as a holding company, we will depend on receipt of funds from our PRC subsidiary and from the VIEs to our PRC subsidiary in accordance with the VIE Agreements. Pursuant to the PRC Enterprise Income Tax Law (the “EIT Law”) and its implementation rules, any dividends paid by Xinjiang United Family to Jenyd will be subject to a withholding tax rate of 10%. However, if Jenyd is determined by the relevant PRC tax authority to have satisfied the relevant conditions and requirements under the Arrangement between the Mainland China and the Hong Kong Special Administrative Region for the Avoidance of Double Taxation and Tax Evasion on Income (“Double Tax Avoidance Arrangement”) and other applicable laws, the 10% withholding tax on the dividends Jenyd receives from Xinjiang United Family may be reduced to 5%. See “-D. Risk Factors-Risks Relating to Doing Business in the PRC-There are significant uncertainties under the EIT Law relating to the withholding tax liabilities of our PRC subsidiary, and dividends payable by our PRC subsidiary to our offshore subsidiaries may not qualify to enjoy certain treaty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PRC regulations permit our indirect PRC subsidiary to pay dividends to Jenyd only out of its accumulated profits, if any, determined in accordance with Chinese accounting standards and regulations. In addition, our PRC subsidiary is required to set aside at least 10% of its after-tax profits each year, if any, to fund a statutory reserve until such reserve reaches 50% of its registered capital. Each of such entities in the PRC is also required to further set aside a portion of its after-tax profits to fund the employee welfare fund, although the amount to be set aside, if any, is determined at the discretion of its board of directors. Although the statutory reserves can be used, among other ways, to increase the registered capital and eliminate future losses in excess of retained earnings of the respective companies, the reserve funds are not distributable as cash dividends except in the event of liquidation. Furthermore, if our subsidiaries and affiliates in the PRC incur debt on their own in the future, the instruments governing the debt may restrict their ability to pay dividends or make other payments. If we or our subsidiaries are unable to receive all of the revenue from our operations, we may be unable to pay dividends on our Class A Ordinary Shares or Class B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existing PRC foreign exchange regulations, payments of current account items, including profit distributions, interest payments, and trade and service-related foreign exchange transactions, can be made in foreign currencies, without prior approval of State Administration of Foreign Exchange (“SAFE”), by complying with certain procedural requirements. Specifically, without prior approval of SAFE, cash generated from the operations in PRC may be used to pay dividends to our Company. As of the date of this annual report, our PRC subsidiary, Xinjiang United Family, has conducted the foreign exchange registration related to our Company under the existing PRC foreign exchange regulations, which enables our PRC subsidiary to legally distribute their earnings to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Company’s ability to settle amounts owed under the VIE Agreements relies upon payments made from the VIEs to Xinjiang United Family in accordance with the VIE Agreements. For services rendered to the UFG Entity by Xinjiang United Family under the Exclusive Service Agreement, Xinjiang United Family is entitled to collect a service fee equal to the net profit after tax of the UFG Entity. Pursuant to the Call Option Agreement, Xinjiang United Family may at any time and under any circumstances, require the UFG Operator to transfer, at its discretion, to the extent permitted under PRC law, all or part of the UFG Operator’s assets in the UFG Entity to Xinjiang United Family (or its designee). For restrictions and limitations on our ability to settle amounts owed under the VIE Agreements, please see “-D. Risk Factors-Risks Relating to Our Corporate Structure-The VIE Agreements with the UFG Entities and the UFG Operators may not be effective in providing control over the UFG Entities” and “-D. Risk Factors-Risks Relating to Our Corporate Structure-If the PRC government determines that the VIE Agreements do not comply with PRC regulations, or if these regulations change or are interpreted differently in the future, we may be unable to assert our contractual rights over the assets of the VIEs, and our Class A Ordinary Shares may decline in value or become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Selected Condensed Consolidating Financial Schedule of Chanson International and Its Subsidiaries and the VIEs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present selected condensed consolidating financial data of Chanson International and its subsidiaries and the VIEs for the years ended December 31, 2025, 2024, and 2023. Chanson International records its investments in its subsidiaries under the equity method. Such investments are presented in the selected condensed consolidating balance sheets of Chanson International as “Investments in subsidiaries” and the profit of the subsidiaries is presented as “Income for equity method investment” in the selected condensed consolidating statements of operations. Pursuant to the VIE Agreements, Chanson International’s wholly owned subsidiary, Xinjiang United Family, has the exclusive right to provide the VIEs services related to business operations, including operational and management consulting services and is entitled to consulting fees, which equal to 100% of the consolidated net income of the VIEs. Accordingly, for the years ended December 31, 2025, 2024, and 2023, Xinjiang United Family recognized the income from VIEs representing net income of the VIEs and financial interest in VIEs since the commencement of the VIE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SELECTED CONDENSED CONSOLIDATING STATEMENTS OF OPERATIONS</w:t>
      </w:r>
    </w:p>
    <w:p>
      <w:pPr>
        <w:pStyle w:val="TextBody"/>
        <w:bidi w:val="0"/>
        <w:spacing w:before="0" w:after="0"/>
        <w:ind w:left="0" w:right="0" w:hanging="0"/>
        <w:jc w:val="center"/>
        <w:rPr>
          <w:caps w:val="false"/>
          <w:smallCaps w:val="false"/>
        </w:rPr>
      </w:pPr>
      <w:r>
        <w:rPr>
          <w:caps w:val="false"/>
          <w:smallCaps w:val="false"/>
        </w:rPr>
        <w:t>  </w:t>
      </w:r>
    </w:p>
    <w:tbl>
      <w:tblPr>
        <w:tblW w:w="12240" w:type="dxa"/>
        <w:jc w:val="left"/>
        <w:tblInd w:w="0" w:type="dxa"/>
        <w:tblLayout w:type="fixed"/>
        <w:tblCellMar>
          <w:top w:w="0" w:type="dxa"/>
          <w:left w:w="0" w:type="dxa"/>
          <w:bottom w:w="0" w:type="dxa"/>
          <w:right w:w="0" w:type="dxa"/>
        </w:tblCellMar>
      </w:tblPr>
      <w:tblGrid>
        <w:gridCol w:w="1550"/>
        <w:gridCol w:w="90"/>
        <w:gridCol w:w="219"/>
        <w:gridCol w:w="1166"/>
        <w:gridCol w:w="125"/>
        <w:gridCol w:w="90"/>
        <w:gridCol w:w="184"/>
        <w:gridCol w:w="1096"/>
        <w:gridCol w:w="125"/>
        <w:gridCol w:w="90"/>
        <w:gridCol w:w="170"/>
        <w:gridCol w:w="1085"/>
        <w:gridCol w:w="125"/>
        <w:gridCol w:w="90"/>
        <w:gridCol w:w="184"/>
        <w:gridCol w:w="1096"/>
        <w:gridCol w:w="125"/>
        <w:gridCol w:w="90"/>
        <w:gridCol w:w="170"/>
        <w:gridCol w:w="1130"/>
        <w:gridCol w:w="90"/>
        <w:gridCol w:w="90"/>
        <w:gridCol w:w="179"/>
        <w:gridCol w:w="1146"/>
        <w:gridCol w:w="125"/>
        <w:gridCol w:w="90"/>
        <w:gridCol w:w="181"/>
        <w:gridCol w:w="1204"/>
        <w:gridCol w:w="135"/>
      </w:tblGrid>
      <w:tr>
        <w:trPr/>
        <w:tc>
          <w:tcPr>
            <w:tcW w:w="1550"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10465" w:type="dxa"/>
            <w:gridSpan w:val="2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 Ended December 31, 2025</w:t>
            </w:r>
          </w:p>
        </w:tc>
        <w:tc>
          <w:tcPr>
            <w:tcW w:w="135" w:type="dxa"/>
            <w:tcBorders/>
            <w:vAlign w:val="center"/>
          </w:tcPr>
          <w:p>
            <w:pPr>
              <w:pStyle w:val="TableContents"/>
              <w:bidi w:val="0"/>
              <w:spacing w:before="0" w:after="283"/>
              <w:ind w:left="0" w:right="0" w:hanging="180"/>
              <w:jc w:val="left"/>
              <w:rPr/>
            </w:pPr>
            <w:r>
              <w:rPr/>
              <w:t> </w:t>
            </w:r>
          </w:p>
        </w:tc>
      </w:tr>
      <w:tr>
        <w:trPr/>
        <w:tc>
          <w:tcPr>
            <w:tcW w:w="15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Chanson</w:t>
              <w:br/>
              <w:t>International</w:t>
              <w:br/>
              <w:t>(Cayman</w:t>
              <w:br/>
              <w:t>Islands)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Subsidiaries</w:t>
              <w:br/>
              <w:t>(British</w:t>
              <w:br/>
              <w:t>Virgin</w:t>
              <w:br/>
              <w:t>Islands/Hong</w:t>
              <w:br/>
              <w:t>Kong)</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Xinjiang</w:t>
              <w:br/>
              <w:t>United</w:t>
              <w:br/>
              <w:t>Family and its subsidiary</w:t>
              <w:br/>
              <w:t>(PRC)</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Xinjiang</w:t>
              <w:br/>
              <w:t>United</w:t>
              <w:br/>
              <w:t>Family’s</w:t>
              <w:br/>
              <w:t>Subsidiaries</w:t>
              <w:br/>
              <w:t>(USA)</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VIEs</w:t>
              <w:br/>
              <w:t>(PRC)</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Eliminations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Consolidated</w:t>
              <w:br/>
              <w:t>Total</w:t>
            </w:r>
          </w:p>
        </w:tc>
        <w:tc>
          <w:tcPr>
            <w:tcW w:w="135" w:type="dxa"/>
            <w:tcBorders/>
            <w:vAlign w:val="center"/>
          </w:tcPr>
          <w:p>
            <w:pPr>
              <w:pStyle w:val="TableContents"/>
              <w:bidi w:val="0"/>
              <w:spacing w:before="0" w:after="283"/>
              <w:ind w:left="0" w:right="0" w:hanging="180"/>
              <w:jc w:val="left"/>
              <w:rPr/>
            </w:pPr>
            <w:r>
              <w:rPr/>
              <w:t> </w:t>
            </w:r>
          </w:p>
        </w:tc>
      </w:tr>
      <w:tr>
        <w:trPr/>
        <w:tc>
          <w:tcPr>
            <w:tcW w:w="15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15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6,173,341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1,910,370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10,185,183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18,268,894</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5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9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2,166,490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9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1,245,314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6,639,087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4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10,050,891</w:t>
            </w:r>
          </w:p>
        </w:tc>
        <w:tc>
          <w:tcPr>
            <w:tcW w:w="135" w:type="dxa"/>
            <w:tcBorders/>
            <w:vAlign w:val="center"/>
          </w:tcPr>
          <w:p>
            <w:pPr>
              <w:pStyle w:val="TableContents"/>
              <w:bidi w:val="0"/>
              <w:spacing w:before="0" w:after="283"/>
              <w:ind w:left="0" w:right="0" w:hanging="180"/>
              <w:jc w:val="left"/>
              <w:rPr/>
            </w:pPr>
            <w:r>
              <w:rPr/>
              <w:t> </w:t>
            </w:r>
          </w:p>
        </w:tc>
      </w:tr>
      <w:tr>
        <w:trPr/>
        <w:tc>
          <w:tcPr>
            <w:tcW w:w="15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from VIEs</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901,746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(901,746</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5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for equity method investment</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(117,161</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9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(117,161</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9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4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234,322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5" w:type="dxa"/>
            <w:tcBorders/>
            <w:vAlign w:val="center"/>
          </w:tcPr>
          <w:p>
            <w:pPr>
              <w:pStyle w:val="TableContents"/>
              <w:bidi w:val="0"/>
              <w:spacing w:before="0" w:after="283"/>
              <w:ind w:left="0" w:right="0" w:hanging="180"/>
              <w:jc w:val="left"/>
              <w:rPr/>
            </w:pPr>
            <w:r>
              <w:rPr/>
              <w:t> </w:t>
            </w:r>
          </w:p>
        </w:tc>
      </w:tr>
      <w:tr>
        <w:trPr/>
        <w:tc>
          <w:tcPr>
            <w:tcW w:w="15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 (loss)</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187,540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(117,161</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788,907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(906,068</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901,746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(667,424</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187,540</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5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Comprehensive income (loss)</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183,333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9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2,670,070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(2,066,324</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9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4,736,394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1,447,431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4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(6,095,552</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875,352</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2130" w:type="dxa"/>
        <w:jc w:val="left"/>
        <w:tblInd w:w="0" w:type="dxa"/>
        <w:tblLayout w:type="fixed"/>
        <w:tblCellMar>
          <w:top w:w="0" w:type="dxa"/>
          <w:left w:w="0" w:type="dxa"/>
          <w:bottom w:w="0" w:type="dxa"/>
          <w:right w:w="0" w:type="dxa"/>
        </w:tblCellMar>
      </w:tblPr>
      <w:tblGrid>
        <w:gridCol w:w="1550"/>
        <w:gridCol w:w="90"/>
        <w:gridCol w:w="235"/>
        <w:gridCol w:w="1150"/>
        <w:gridCol w:w="125"/>
        <w:gridCol w:w="90"/>
        <w:gridCol w:w="184"/>
        <w:gridCol w:w="1096"/>
        <w:gridCol w:w="125"/>
        <w:gridCol w:w="90"/>
        <w:gridCol w:w="170"/>
        <w:gridCol w:w="1010"/>
        <w:gridCol w:w="90"/>
        <w:gridCol w:w="90"/>
        <w:gridCol w:w="173"/>
        <w:gridCol w:w="1107"/>
        <w:gridCol w:w="125"/>
        <w:gridCol w:w="90"/>
        <w:gridCol w:w="170"/>
        <w:gridCol w:w="1130"/>
        <w:gridCol w:w="90"/>
        <w:gridCol w:w="90"/>
        <w:gridCol w:w="179"/>
        <w:gridCol w:w="1146"/>
        <w:gridCol w:w="125"/>
        <w:gridCol w:w="90"/>
        <w:gridCol w:w="181"/>
        <w:gridCol w:w="1204"/>
        <w:gridCol w:w="135"/>
      </w:tblGrid>
      <w:tr>
        <w:trPr/>
        <w:tc>
          <w:tcPr>
            <w:tcW w:w="1550"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10355" w:type="dxa"/>
            <w:gridSpan w:val="2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 Ended December 31, 2024</w:t>
            </w:r>
          </w:p>
        </w:tc>
        <w:tc>
          <w:tcPr>
            <w:tcW w:w="135" w:type="dxa"/>
            <w:tcBorders/>
            <w:vAlign w:val="center"/>
          </w:tcPr>
          <w:p>
            <w:pPr>
              <w:pStyle w:val="TableContents"/>
              <w:bidi w:val="0"/>
              <w:spacing w:before="0" w:after="283"/>
              <w:ind w:left="0" w:right="0" w:hanging="180"/>
              <w:jc w:val="left"/>
              <w:rPr/>
            </w:pPr>
            <w:r>
              <w:rPr/>
              <w:t> </w:t>
            </w:r>
          </w:p>
        </w:tc>
      </w:tr>
      <w:tr>
        <w:trPr/>
        <w:tc>
          <w:tcPr>
            <w:tcW w:w="15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Chanson</w:t>
              <w:br/>
              <w:t>International</w:t>
              <w:br/>
              <w:t>(Cayman</w:t>
              <w:br/>
              <w:t>Islands)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Subsidiaries</w:t>
              <w:br/>
              <w:t>(British</w:t>
              <w:br/>
              <w:t>Virgin</w:t>
              <w:br/>
              <w:t>Islands/Hong</w:t>
              <w:br/>
              <w:t>Kong)</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Xinjiang</w:t>
              <w:br/>
              <w:t>United</w:t>
              <w:br/>
              <w:t xml:space="preserve">Family </w:t>
              <w:br/>
              <w:t>(PRC)</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Xinjiang</w:t>
              <w:br/>
              <w:t>United</w:t>
              <w:br/>
              <w:t>Family’s</w:t>
              <w:br/>
              <w:t>Subsidiaries</w:t>
              <w:br/>
              <w:t>(USA)</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VIEs</w:t>
              <w:br/>
              <w:t>(PRC)</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Eliminations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Consolidated</w:t>
              <w:br/>
              <w:t>Total</w:t>
            </w:r>
          </w:p>
        </w:tc>
        <w:tc>
          <w:tcPr>
            <w:tcW w:w="135" w:type="dxa"/>
            <w:tcBorders/>
            <w:vAlign w:val="center"/>
          </w:tcPr>
          <w:p>
            <w:pPr>
              <w:pStyle w:val="TableContents"/>
              <w:bidi w:val="0"/>
              <w:spacing w:before="0" w:after="283"/>
              <w:ind w:left="0" w:right="0" w:hanging="180"/>
              <w:jc w:val="left"/>
              <w:rPr/>
            </w:pPr>
            <w:r>
              <w:rPr/>
              <w:t> </w:t>
            </w:r>
          </w:p>
        </w:tc>
      </w:tr>
      <w:tr>
        <w:trPr/>
        <w:tc>
          <w:tcPr>
            <w:tcW w:w="15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15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w:t>
            </w:r>
          </w:p>
        </w:tc>
        <w:tc>
          <w:tcPr>
            <w:tcW w:w="9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4,798,614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2,084,844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11,344,079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18,227,537</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5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w:t>
            </w:r>
          </w:p>
        </w:tc>
        <w:tc>
          <w:tcPr>
            <w:tcW w:w="9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5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9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2,320,657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2,071,982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6,640,580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4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11,033,219</w:t>
            </w:r>
          </w:p>
        </w:tc>
        <w:tc>
          <w:tcPr>
            <w:tcW w:w="135" w:type="dxa"/>
            <w:tcBorders/>
            <w:vAlign w:val="center"/>
          </w:tcPr>
          <w:p>
            <w:pPr>
              <w:pStyle w:val="TableContents"/>
              <w:bidi w:val="0"/>
              <w:spacing w:before="0" w:after="283"/>
              <w:ind w:left="0" w:right="0" w:hanging="180"/>
              <w:jc w:val="left"/>
              <w:rPr/>
            </w:pPr>
            <w:r>
              <w:rPr/>
              <w:t> </w:t>
            </w:r>
          </w:p>
        </w:tc>
      </w:tr>
      <w:tr>
        <w:trPr/>
        <w:tc>
          <w:tcPr>
            <w:tcW w:w="15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from VIEs</w:t>
            </w:r>
          </w:p>
        </w:tc>
        <w:tc>
          <w:tcPr>
            <w:tcW w:w="9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2,060,482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(2,060,482</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5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for equity method investment</w:t>
            </w:r>
          </w:p>
        </w:tc>
        <w:tc>
          <w:tcPr>
            <w:tcW w:w="9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5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(37,073</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9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(37,073</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4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74,146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5" w:type="dxa"/>
            <w:tcBorders/>
            <w:vAlign w:val="center"/>
          </w:tcPr>
          <w:p>
            <w:pPr>
              <w:pStyle w:val="TableContents"/>
              <w:bidi w:val="0"/>
              <w:spacing w:before="0" w:after="283"/>
              <w:ind w:left="0" w:right="0" w:hanging="180"/>
              <w:jc w:val="left"/>
              <w:rPr/>
            </w:pPr>
            <w:r>
              <w:rPr/>
              <w:t> </w:t>
            </w:r>
          </w:p>
        </w:tc>
      </w:tr>
      <w:tr>
        <w:trPr/>
        <w:tc>
          <w:tcPr>
            <w:tcW w:w="15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 (loss)</w:t>
            </w:r>
          </w:p>
        </w:tc>
        <w:tc>
          <w:tcPr>
            <w:tcW w:w="9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756,285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(37,073</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2,146,934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(2,184,007</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2,060,482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(1,986,336</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756,285</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5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Comprehensive income</w:t>
            </w:r>
          </w:p>
        </w:tc>
        <w:tc>
          <w:tcPr>
            <w:tcW w:w="9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5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756,285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9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1,849,394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1,765,196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84,198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1,731,759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4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(5,714,736</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472,096</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2140" w:type="dxa"/>
        <w:jc w:val="left"/>
        <w:tblInd w:w="0" w:type="dxa"/>
        <w:tblLayout w:type="fixed"/>
        <w:tblCellMar>
          <w:top w:w="0" w:type="dxa"/>
          <w:left w:w="0" w:type="dxa"/>
          <w:bottom w:w="0" w:type="dxa"/>
          <w:right w:w="0" w:type="dxa"/>
        </w:tblCellMar>
      </w:tblPr>
      <w:tblGrid>
        <w:gridCol w:w="1550"/>
        <w:gridCol w:w="90"/>
        <w:gridCol w:w="219"/>
        <w:gridCol w:w="1166"/>
        <w:gridCol w:w="125"/>
        <w:gridCol w:w="90"/>
        <w:gridCol w:w="202"/>
        <w:gridCol w:w="1078"/>
        <w:gridCol w:w="125"/>
        <w:gridCol w:w="90"/>
        <w:gridCol w:w="170"/>
        <w:gridCol w:w="1010"/>
        <w:gridCol w:w="90"/>
        <w:gridCol w:w="90"/>
        <w:gridCol w:w="170"/>
        <w:gridCol w:w="1205"/>
        <w:gridCol w:w="125"/>
        <w:gridCol w:w="90"/>
        <w:gridCol w:w="170"/>
        <w:gridCol w:w="1010"/>
        <w:gridCol w:w="90"/>
        <w:gridCol w:w="90"/>
        <w:gridCol w:w="179"/>
        <w:gridCol w:w="1146"/>
        <w:gridCol w:w="125"/>
        <w:gridCol w:w="90"/>
        <w:gridCol w:w="181"/>
        <w:gridCol w:w="1204"/>
        <w:gridCol w:w="170"/>
      </w:tblGrid>
      <w:tr>
        <w:trPr/>
        <w:tc>
          <w:tcPr>
            <w:tcW w:w="1550"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10330" w:type="dxa"/>
            <w:gridSpan w:val="2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 Ended December 31, 2023</w:t>
            </w:r>
          </w:p>
        </w:tc>
        <w:tc>
          <w:tcPr>
            <w:tcW w:w="170" w:type="dxa"/>
            <w:tcBorders/>
            <w:vAlign w:val="center"/>
          </w:tcPr>
          <w:p>
            <w:pPr>
              <w:pStyle w:val="TableContents"/>
              <w:bidi w:val="0"/>
              <w:spacing w:before="0" w:after="283"/>
              <w:ind w:left="0" w:right="0" w:hanging="180"/>
              <w:jc w:val="left"/>
              <w:rPr/>
            </w:pPr>
            <w:r>
              <w:rPr/>
              <w:t> </w:t>
            </w:r>
          </w:p>
        </w:tc>
      </w:tr>
      <w:tr>
        <w:trPr/>
        <w:tc>
          <w:tcPr>
            <w:tcW w:w="155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Chanson</w:t>
              <w:br/>
              <w:t>International</w:t>
              <w:br/>
              <w:t>(Cayman</w:t>
              <w:br/>
              <w:t>Islands)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Subsidiaries</w:t>
              <w:br/>
              <w:t>(British</w:t>
              <w:br/>
              <w:t>Virgin</w:t>
              <w:br/>
              <w:t>Islands/Hong</w:t>
              <w:br/>
              <w:t>Kong)</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Xinjiang</w:t>
              <w:br/>
              <w:t>United</w:t>
              <w:br/>
              <w:t>Family</w:t>
              <w:br/>
              <w:t>(PRC)</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Xinjiang</w:t>
              <w:br/>
              <w:t>United</w:t>
              <w:br/>
              <w:t>Family’s</w:t>
              <w:br/>
              <w:t>Subsidiaries</w:t>
              <w:br/>
              <w:t>(USA)</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VIEs</w:t>
              <w:br/>
              <w:t>(PRC)</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Eliminations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Consolidated</w:t>
              <w:br/>
              <w:t>Total</w:t>
            </w:r>
          </w:p>
        </w:tc>
        <w:tc>
          <w:tcPr>
            <w:tcW w:w="170" w:type="dxa"/>
            <w:tcBorders/>
            <w:vAlign w:val="center"/>
          </w:tcPr>
          <w:p>
            <w:pPr>
              <w:pStyle w:val="TableContents"/>
              <w:bidi w:val="0"/>
              <w:spacing w:before="0" w:after="283"/>
              <w:ind w:left="0" w:right="0" w:hanging="180"/>
              <w:jc w:val="left"/>
              <w:rPr/>
            </w:pPr>
            <w:r>
              <w:rPr/>
              <w:t> </w:t>
            </w:r>
          </w:p>
        </w:tc>
      </w:tr>
      <w:tr>
        <w:trPr/>
        <w:tc>
          <w:tcPr>
            <w:tcW w:w="15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15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7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4,948,427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2,938,505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9,365,730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17,252,662</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15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78"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2,447,095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1,909,026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4,749,216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4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9,105,337</w:t>
            </w:r>
          </w:p>
        </w:tc>
        <w:tc>
          <w:tcPr>
            <w:tcW w:w="170" w:type="dxa"/>
            <w:tcBorders/>
            <w:vAlign w:val="center"/>
          </w:tcPr>
          <w:p>
            <w:pPr>
              <w:pStyle w:val="TableContents"/>
              <w:bidi w:val="0"/>
              <w:spacing w:before="0" w:after="283"/>
              <w:ind w:left="0" w:right="0" w:hanging="180"/>
              <w:jc w:val="left"/>
              <w:rPr/>
            </w:pPr>
            <w:r>
              <w:rPr/>
              <w:t> </w:t>
            </w:r>
          </w:p>
        </w:tc>
      </w:tr>
      <w:tr>
        <w:trPr/>
        <w:tc>
          <w:tcPr>
            <w:tcW w:w="15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from VIEs</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7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1,765,358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(1,765,358</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15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for equity method investment</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(567,809</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78"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(567,809</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4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1,135,618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70" w:type="dxa"/>
            <w:tcBorders/>
            <w:vAlign w:val="center"/>
          </w:tcPr>
          <w:p>
            <w:pPr>
              <w:pStyle w:val="TableContents"/>
              <w:bidi w:val="0"/>
              <w:spacing w:before="0" w:after="283"/>
              <w:ind w:left="0" w:right="0" w:hanging="180"/>
              <w:jc w:val="left"/>
              <w:rPr/>
            </w:pPr>
            <w:r>
              <w:rPr/>
              <w:t> </w:t>
            </w:r>
          </w:p>
        </w:tc>
      </w:tr>
      <w:tr>
        <w:trPr/>
        <w:tc>
          <w:tcPr>
            <w:tcW w:w="15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 (loss)</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33,588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7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(567,809</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1,716,755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(2,284,564</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1,765,358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(629,740</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33,588</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15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Comprehensive income (loss)</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33,588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78"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(302,426</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9,892,175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(10,194,601</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1,499,301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4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(1,025,227</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(97,190</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SELECTED CONDENSED CONSOLIDATING BALANCE SHEETS</w:t>
      </w:r>
    </w:p>
    <w:p>
      <w:pPr>
        <w:pStyle w:val="TextBody"/>
        <w:bidi w:val="0"/>
        <w:spacing w:before="0" w:after="0"/>
        <w:ind w:left="0" w:right="0" w:hanging="0"/>
        <w:jc w:val="center"/>
        <w:rPr>
          <w:caps w:val="false"/>
          <w:smallCaps w:val="false"/>
        </w:rPr>
      </w:pPr>
      <w:r>
        <w:rPr>
          <w:caps w:val="false"/>
          <w:smallCaps w:val="false"/>
        </w:rPr>
        <w:t> </w:t>
      </w:r>
    </w:p>
    <w:tbl>
      <w:tblPr>
        <w:tblW w:w="12140" w:type="dxa"/>
        <w:jc w:val="left"/>
        <w:tblInd w:w="0" w:type="dxa"/>
        <w:tblLayout w:type="fixed"/>
        <w:tblCellMar>
          <w:top w:w="0" w:type="dxa"/>
          <w:left w:w="0" w:type="dxa"/>
          <w:bottom w:w="0" w:type="dxa"/>
          <w:right w:w="0" w:type="dxa"/>
        </w:tblCellMar>
      </w:tblPr>
      <w:tblGrid>
        <w:gridCol w:w="1370"/>
        <w:gridCol w:w="90"/>
        <w:gridCol w:w="181"/>
        <w:gridCol w:w="1204"/>
        <w:gridCol w:w="125"/>
        <w:gridCol w:w="90"/>
        <w:gridCol w:w="173"/>
        <w:gridCol w:w="1107"/>
        <w:gridCol w:w="125"/>
        <w:gridCol w:w="90"/>
        <w:gridCol w:w="170"/>
        <w:gridCol w:w="1130"/>
        <w:gridCol w:w="90"/>
        <w:gridCol w:w="90"/>
        <w:gridCol w:w="170"/>
        <w:gridCol w:w="1130"/>
        <w:gridCol w:w="125"/>
        <w:gridCol w:w="90"/>
        <w:gridCol w:w="170"/>
        <w:gridCol w:w="1130"/>
        <w:gridCol w:w="90"/>
        <w:gridCol w:w="90"/>
        <w:gridCol w:w="170"/>
        <w:gridCol w:w="1205"/>
        <w:gridCol w:w="125"/>
        <w:gridCol w:w="90"/>
        <w:gridCol w:w="181"/>
        <w:gridCol w:w="1204"/>
        <w:gridCol w:w="135"/>
      </w:tblGrid>
      <w:tr>
        <w:trPr/>
        <w:tc>
          <w:tcPr>
            <w:tcW w:w="1370" w:type="dxa"/>
            <w:tcBorders/>
            <w:vAlign w:val="center"/>
          </w:tcPr>
          <w:p>
            <w:pPr>
              <w:pStyle w:val="TableContents"/>
              <w:bidi w:val="0"/>
              <w:spacing w:before="0" w:after="283"/>
              <w:ind w:left="0" w:right="0" w:hanging="180"/>
              <w:jc w:val="center"/>
              <w:rPr/>
            </w:pPr>
            <w:r>
              <w:rPr/>
              <w:t> </w:t>
            </w:r>
          </w:p>
        </w:tc>
        <w:tc>
          <w:tcPr>
            <w:tcW w:w="90" w:type="dxa"/>
            <w:tcBorders/>
            <w:vAlign w:val="center"/>
          </w:tcPr>
          <w:p>
            <w:pPr>
              <w:pStyle w:val="TableContents"/>
              <w:bidi w:val="0"/>
              <w:spacing w:before="0" w:after="283"/>
              <w:jc w:val="left"/>
              <w:rPr/>
            </w:pPr>
            <w:r>
              <w:rPr/>
              <w:t> </w:t>
            </w:r>
          </w:p>
        </w:tc>
        <w:tc>
          <w:tcPr>
            <w:tcW w:w="10545" w:type="dxa"/>
            <w:gridSpan w:val="2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 2025</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Chanson</w:t>
              <w:br/>
              <w:t>International</w:t>
              <w:br/>
              <w:t>(Cayman</w:t>
              <w:br/>
              <w:t>Islands)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Subsidiaries</w:t>
              <w:br/>
              <w:t>(British</w:t>
              <w:br/>
              <w:t>Virgin</w:t>
              <w:br/>
              <w:t>Islands/</w:t>
              <w:br/>
              <w:t>Hong Kong)</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Xinjiang</w:t>
              <w:br/>
              <w:t>United</w:t>
              <w:br/>
              <w:t>Family and its subsidiary</w:t>
              <w:br/>
              <w:t>(PRC)</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Xinjiang</w:t>
              <w:br/>
              <w:t>United</w:t>
              <w:br/>
              <w:t>Family’s</w:t>
              <w:br/>
              <w:t>Subsidiaries</w:t>
              <w:br/>
              <w:t>(USA)</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VIEs</w:t>
              <w:br/>
              <w:t>(PRC)</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Eliminations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Consolidated</w:t>
              <w:br/>
              <w:t>Total</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3,569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31,575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86,382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8,522,831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8,644,357</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Intercompany receivable</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13,296,744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353,580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746,500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9,149,617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(23,546,441</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assets</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13,337,813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4,111,198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1,313,350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19,426,569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(26,003,137</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12,185,793</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Investment in subsidiaries, equity method</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(6,356,320</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(1,171,380</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7,527,700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Financial interest in VIEs</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8,438,335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(8,438,335</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non-current assets</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36,893,821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(1,171,380</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28,105,630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4,140,753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7,505,321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(5,674,147</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69,799,998</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Assets</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50,231,634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(1,171,380</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32,216,828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5,454,103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26,931,890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(31,677,284</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81,985,791</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Intercompany payable</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1,100,080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13,032,009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9,564,930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(23,697,019</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Liabilities</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1,100,080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24,099,815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14,742,496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11,986,183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(26,153,715</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25,774,859</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Shareholders’ Equity (Deficit)</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49,131,554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(1,171,380</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8,117,013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(9,288,393</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14,945,707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(5,523,569</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56,210,932</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Liabilities and Shareholders’ Equity (Deficit)</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50,231,634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(1,171,380</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32,216,828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5,454,103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26,931,890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(31,677,284</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81,985,791</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2215" w:type="dxa"/>
        <w:jc w:val="left"/>
        <w:tblInd w:w="0" w:type="dxa"/>
        <w:tblLayout w:type="fixed"/>
        <w:tblCellMar>
          <w:top w:w="0" w:type="dxa"/>
          <w:left w:w="0" w:type="dxa"/>
          <w:bottom w:w="0" w:type="dxa"/>
          <w:right w:w="0" w:type="dxa"/>
        </w:tblCellMar>
      </w:tblPr>
      <w:tblGrid>
        <w:gridCol w:w="1370"/>
        <w:gridCol w:w="90"/>
        <w:gridCol w:w="181"/>
        <w:gridCol w:w="1204"/>
        <w:gridCol w:w="125"/>
        <w:gridCol w:w="90"/>
        <w:gridCol w:w="173"/>
        <w:gridCol w:w="1107"/>
        <w:gridCol w:w="125"/>
        <w:gridCol w:w="90"/>
        <w:gridCol w:w="170"/>
        <w:gridCol w:w="1130"/>
        <w:gridCol w:w="90"/>
        <w:gridCol w:w="90"/>
        <w:gridCol w:w="170"/>
        <w:gridCol w:w="1205"/>
        <w:gridCol w:w="125"/>
        <w:gridCol w:w="90"/>
        <w:gridCol w:w="170"/>
        <w:gridCol w:w="1130"/>
        <w:gridCol w:w="90"/>
        <w:gridCol w:w="90"/>
        <w:gridCol w:w="170"/>
        <w:gridCol w:w="1205"/>
        <w:gridCol w:w="125"/>
        <w:gridCol w:w="90"/>
        <w:gridCol w:w="181"/>
        <w:gridCol w:w="1204"/>
        <w:gridCol w:w="135"/>
      </w:tblGrid>
      <w:tr>
        <w:trPr/>
        <w:tc>
          <w:tcPr>
            <w:tcW w:w="1370" w:type="dxa"/>
            <w:tcBorders/>
            <w:vAlign w:val="center"/>
          </w:tcPr>
          <w:p>
            <w:pPr>
              <w:pStyle w:val="TableContents"/>
              <w:bidi w:val="0"/>
              <w:spacing w:before="0" w:after="283"/>
              <w:ind w:left="0" w:right="0" w:hanging="180"/>
              <w:jc w:val="center"/>
              <w:rPr/>
            </w:pPr>
            <w:r>
              <w:rPr/>
              <w:t> </w:t>
            </w:r>
          </w:p>
        </w:tc>
        <w:tc>
          <w:tcPr>
            <w:tcW w:w="90" w:type="dxa"/>
            <w:tcBorders/>
            <w:vAlign w:val="center"/>
          </w:tcPr>
          <w:p>
            <w:pPr>
              <w:pStyle w:val="TableContents"/>
              <w:bidi w:val="0"/>
              <w:spacing w:before="0" w:after="283"/>
              <w:jc w:val="left"/>
              <w:rPr/>
            </w:pPr>
            <w:r>
              <w:rPr/>
              <w:t> </w:t>
            </w:r>
          </w:p>
        </w:tc>
        <w:tc>
          <w:tcPr>
            <w:tcW w:w="10620" w:type="dxa"/>
            <w:gridSpan w:val="2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 2024</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Chanson</w:t>
              <w:br/>
              <w:t>International</w:t>
              <w:br/>
              <w:t>(Cayman</w:t>
              <w:br/>
              <w:t>Islands)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Subsidiaries</w:t>
              <w:br/>
              <w:t>(British</w:t>
              <w:br/>
              <w:t>Virgin</w:t>
              <w:br/>
              <w:t>Islands/</w:t>
              <w:br/>
              <w:t>Hong Kong)</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Xinjiang</w:t>
              <w:br/>
              <w:t>United</w:t>
              <w:br/>
              <w:t>Family</w:t>
              <w:br/>
              <w:t>(PRC)</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Xinjiang</w:t>
              <w:br/>
              <w:t>United</w:t>
              <w:br/>
              <w:t>Family’s</w:t>
              <w:br/>
              <w:t>Subsidiaries</w:t>
              <w:br/>
              <w:t>(USA)</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VIEs</w:t>
              <w:br/>
              <w:t>(PRC)</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Eliminations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Consolidated</w:t>
              <w:br/>
              <w:t>Total</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16,575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47,479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108,150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11,930,559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12,102,763</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Intercompany receivable</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9,013,055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338,903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746,500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2,069,015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(12,167,473</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assets</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11,029,630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2,240,578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2,382,177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17,653,086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(14,877,051</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18,428,420</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Investment in subsidiaries, equity method</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(6,239,159</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(3,841,450</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10,080,609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Financial interest in VIEs</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7,536,589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(7,536,589</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non-current assets</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2,110,382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(3,841,450</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9,297,626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9,262,717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5,950,096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568,043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23,347,414</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Assets</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13,140,012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(3,841,450</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11,538,204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11,644,894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23,603,182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(14,309,008</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41,775,834</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Intercompany payable</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1,101,925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5,384,558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5,684,930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(12,171,413</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Liabilities</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1,101,925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1,354,867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25,669,681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10,104,906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(14,880,991</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23,350,388</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Shareholders’ Equity (Deficit)</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12,038,087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(3,841,450</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10,183,337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(14,024,787</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13,498,276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571,983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18,425,446</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Liabilities and Shareholders’ Equity (Deficit)</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13,140,012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(3,841,450</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11,538,204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11,644,894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23,603,182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(14,309,008</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41,775,834</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2095" w:type="dxa"/>
        <w:jc w:val="left"/>
        <w:tblInd w:w="0" w:type="dxa"/>
        <w:tblLayout w:type="fixed"/>
        <w:tblCellMar>
          <w:top w:w="0" w:type="dxa"/>
          <w:left w:w="0" w:type="dxa"/>
          <w:bottom w:w="0" w:type="dxa"/>
          <w:right w:w="0" w:type="dxa"/>
        </w:tblCellMar>
      </w:tblPr>
      <w:tblGrid>
        <w:gridCol w:w="1370"/>
        <w:gridCol w:w="90"/>
        <w:gridCol w:w="187"/>
        <w:gridCol w:w="1198"/>
        <w:gridCol w:w="125"/>
        <w:gridCol w:w="90"/>
        <w:gridCol w:w="173"/>
        <w:gridCol w:w="1107"/>
        <w:gridCol w:w="125"/>
        <w:gridCol w:w="90"/>
        <w:gridCol w:w="170"/>
        <w:gridCol w:w="1010"/>
        <w:gridCol w:w="90"/>
        <w:gridCol w:w="90"/>
        <w:gridCol w:w="170"/>
        <w:gridCol w:w="1205"/>
        <w:gridCol w:w="125"/>
        <w:gridCol w:w="90"/>
        <w:gridCol w:w="170"/>
        <w:gridCol w:w="1130"/>
        <w:gridCol w:w="90"/>
        <w:gridCol w:w="90"/>
        <w:gridCol w:w="170"/>
        <w:gridCol w:w="1205"/>
        <w:gridCol w:w="125"/>
        <w:gridCol w:w="90"/>
        <w:gridCol w:w="181"/>
        <w:gridCol w:w="1204"/>
        <w:gridCol w:w="135"/>
      </w:tblGrid>
      <w:tr>
        <w:trPr/>
        <w:tc>
          <w:tcPr>
            <w:tcW w:w="1370" w:type="dxa"/>
            <w:tcBorders/>
            <w:vAlign w:val="center"/>
          </w:tcPr>
          <w:p>
            <w:pPr>
              <w:pStyle w:val="TableContents"/>
              <w:bidi w:val="0"/>
              <w:spacing w:before="0" w:after="283"/>
              <w:ind w:left="0" w:right="0" w:hanging="180"/>
              <w:jc w:val="center"/>
              <w:rPr/>
            </w:pPr>
            <w:r>
              <w:rPr/>
              <w:t> </w:t>
            </w:r>
          </w:p>
        </w:tc>
        <w:tc>
          <w:tcPr>
            <w:tcW w:w="90" w:type="dxa"/>
            <w:tcBorders/>
            <w:vAlign w:val="center"/>
          </w:tcPr>
          <w:p>
            <w:pPr>
              <w:pStyle w:val="TableContents"/>
              <w:bidi w:val="0"/>
              <w:spacing w:before="0" w:after="283"/>
              <w:jc w:val="left"/>
              <w:rPr/>
            </w:pPr>
            <w:r>
              <w:rPr/>
              <w:t> </w:t>
            </w:r>
          </w:p>
        </w:tc>
        <w:tc>
          <w:tcPr>
            <w:tcW w:w="10500" w:type="dxa"/>
            <w:gridSpan w:val="2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 2023</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Chanson</w:t>
              <w:br/>
              <w:t>International</w:t>
              <w:br/>
              <w:t>(Cayman</w:t>
              <w:br/>
              <w:t>Islands)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Subsidiaries</w:t>
              <w:br/>
              <w:t>(British</w:t>
              <w:br/>
              <w:t>Virgin</w:t>
              <w:br/>
              <w:t>Islands/</w:t>
              <w:br/>
              <w:t>Hong Kong)</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Xinjiang</w:t>
              <w:br/>
              <w:t>United</w:t>
              <w:br/>
              <w:t>Family</w:t>
              <w:br/>
              <w:t>(PRC)</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Xinjiang</w:t>
              <w:br/>
              <w:t>United</w:t>
              <w:br/>
              <w:t>Family’s</w:t>
              <w:br/>
              <w:t>Subsidiaries</w:t>
              <w:br/>
              <w:t>(USA)</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VIEs</w:t>
              <w:br/>
              <w:t>(PRC)</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Eliminations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Consolidated</w:t>
              <w:br/>
              <w:t>Total</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30,269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21,340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562,267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867,426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1,481,302</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Intercompany receivable</w:t>
            </w:r>
          </w:p>
        </w:tc>
        <w:tc>
          <w:tcPr>
            <w:tcW w:w="9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8"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4,009,100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414,424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746,500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7,748,737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(12,918,761</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assets</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4,039,369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2,269,219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3,610,137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16,386,644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(16,970,922</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9,334,447</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Investment in subsidiaries, equity method</w:t>
            </w:r>
          </w:p>
        </w:tc>
        <w:tc>
          <w:tcPr>
            <w:tcW w:w="9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8"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(6,202,086</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(5,690,844</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11,892,930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Financial interest in VIEs</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5,476,107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(5,476,107</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non-current assets</w:t>
            </w:r>
          </w:p>
        </w:tc>
        <w:tc>
          <w:tcPr>
            <w:tcW w:w="9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8"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2,399,311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(5,690,844</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7,224,733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13,984,265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4,765,561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6,416,823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29,099,849</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Assets</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6,438,680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(5,690,844</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9,493,952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17,594,402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21,152,205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(10,554,099</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38,434,296</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Intercompany payable</w:t>
            </w:r>
          </w:p>
        </w:tc>
        <w:tc>
          <w:tcPr>
            <w:tcW w:w="9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8"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1,095,872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7,632,749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4,060,036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(12,788,657</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Liabilities</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1,095,872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1,075,811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31,703,387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9,385,688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(16,840,818</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26,419,940</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Shareholders’ Equity (Deficit)</w:t>
            </w:r>
          </w:p>
        </w:tc>
        <w:tc>
          <w:tcPr>
            <w:tcW w:w="9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8"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5,342,808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(5,690,844</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8,418,141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(14,108,985</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11,766,517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6,286,719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12,014,356</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Liabilities and Shareholders’ Equity (Deficit)</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6,438,680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(5,690,844</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9,493,952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17,594,402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21,152,205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(10,554,099</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38,434,296</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SELECTED CONDENSED CONSOLIDATING STATEMENTS OF CASH FLOWS</w:t>
      </w:r>
    </w:p>
    <w:p>
      <w:pPr>
        <w:pStyle w:val="TextBody"/>
        <w:bidi w:val="0"/>
        <w:spacing w:before="0" w:after="0"/>
        <w:ind w:left="0" w:right="0" w:hanging="0"/>
        <w:jc w:val="center"/>
        <w:rPr>
          <w:caps w:val="false"/>
          <w:smallCaps w:val="false"/>
        </w:rPr>
      </w:pPr>
      <w:r>
        <w:rPr>
          <w:caps w:val="false"/>
          <w:smallCaps w:val="false"/>
        </w:rPr>
        <w:t> </w:t>
      </w:r>
    </w:p>
    <w:tbl>
      <w:tblPr>
        <w:tblW w:w="11715" w:type="dxa"/>
        <w:jc w:val="left"/>
        <w:tblInd w:w="0" w:type="dxa"/>
        <w:tblLayout w:type="fixed"/>
        <w:tblCellMar>
          <w:top w:w="0" w:type="dxa"/>
          <w:left w:w="0" w:type="dxa"/>
          <w:bottom w:w="0" w:type="dxa"/>
          <w:right w:w="0" w:type="dxa"/>
        </w:tblCellMar>
      </w:tblPr>
      <w:tblGrid>
        <w:gridCol w:w="950"/>
        <w:gridCol w:w="90"/>
        <w:gridCol w:w="171"/>
        <w:gridCol w:w="1214"/>
        <w:gridCol w:w="125"/>
        <w:gridCol w:w="90"/>
        <w:gridCol w:w="260"/>
        <w:gridCol w:w="1020"/>
        <w:gridCol w:w="90"/>
        <w:gridCol w:w="90"/>
        <w:gridCol w:w="170"/>
        <w:gridCol w:w="1205"/>
        <w:gridCol w:w="125"/>
        <w:gridCol w:w="90"/>
        <w:gridCol w:w="202"/>
        <w:gridCol w:w="1078"/>
        <w:gridCol w:w="125"/>
        <w:gridCol w:w="90"/>
        <w:gridCol w:w="170"/>
        <w:gridCol w:w="1085"/>
        <w:gridCol w:w="125"/>
        <w:gridCol w:w="90"/>
        <w:gridCol w:w="179"/>
        <w:gridCol w:w="1146"/>
        <w:gridCol w:w="125"/>
        <w:gridCol w:w="90"/>
        <w:gridCol w:w="171"/>
        <w:gridCol w:w="1214"/>
        <w:gridCol w:w="135"/>
      </w:tblGrid>
      <w:tr>
        <w:trPr/>
        <w:tc>
          <w:tcPr>
            <w:tcW w:w="95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540" w:type="dxa"/>
            <w:gridSpan w:val="2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 Ended December 31, 2025</w:t>
            </w:r>
          </w:p>
        </w:tc>
        <w:tc>
          <w:tcPr>
            <w:tcW w:w="135"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Chanson</w:t>
              <w:br/>
              <w:t>International</w:t>
              <w:br/>
              <w:t>(Cayman</w:t>
              <w:br/>
              <w:t>Islands)</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Subsidiaries</w:t>
              <w:br/>
              <w:t>(British</w:t>
              <w:br/>
              <w:t>Virgin</w:t>
              <w:br/>
              <w:t>Islands/</w:t>
              <w:br/>
              <w:t>Hong Kong)</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Xinjiang</w:t>
              <w:br/>
              <w:t>United</w:t>
              <w:br/>
              <w:t>Family</w:t>
              <w:br/>
              <w:t xml:space="preserve">and its </w:t>
              <w:br/>
              <w:t>subsidiary</w:t>
              <w:br/>
              <w:t>(PRC)</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Xinjiang</w:t>
              <w:br/>
              <w:t>United</w:t>
              <w:br/>
              <w:t>Family’s</w:t>
              <w:br/>
              <w:t>Subsidiaries</w:t>
              <w:br/>
              <w:t>(USA)</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VIEs</w:t>
              <w:br/>
              <w:t>(PRC)</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2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Eliminations</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Consolidated</w:t>
              <w:br/>
              <w:t>Total</w:t>
            </w:r>
          </w:p>
        </w:tc>
        <w:tc>
          <w:tcPr>
            <w:tcW w:w="135" w:type="dxa"/>
            <w:tcBorders/>
            <w:vAlign w:val="center"/>
          </w:tcPr>
          <w:p>
            <w:pPr>
              <w:pStyle w:val="TableContents"/>
              <w:bidi w:val="0"/>
              <w:spacing w:before="0" w:after="283"/>
              <w:jc w:val="center"/>
              <w:rPr/>
            </w:pPr>
            <w:r>
              <w:rPr/>
              <w:t> </w:t>
            </w:r>
          </w:p>
        </w:tc>
      </w:tr>
      <w:tr>
        <w:trPr/>
        <w:tc>
          <w:tcPr>
            <w:tcW w:w="9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9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provided by operating activities</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(255,606</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20" w:type="dxa"/>
            <w:tcBorders/>
            <w:shd w:fill="CCEEFF" w:val="clear"/>
            <w:vAlign w:val="center"/>
          </w:tcPr>
          <w:p>
            <w:pPr>
              <w:pStyle w:val="TableContents"/>
              <w:bidi w:val="0"/>
              <w:spacing w:before="0" w:after="283"/>
              <w:jc w:val="right"/>
              <w:rPr/>
            </w:pPr>
            <w:r>
              <w:rPr/>
              <w:t>         </w:t>
            </w: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(4,032,339</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7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(253,768</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7,406,580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2,864,867</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9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investing activities</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4"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(36,667,534</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2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(11,932,217</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78"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(4,341</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(1,505,101</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4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4,289,741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4"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(45,819,452</w:t>
            </w:r>
          </w:p>
        </w:tc>
        <w:tc>
          <w:tcPr>
            <w:tcW w:w="135" w:type="dxa"/>
            <w:tcBorders/>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9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provided by financing activities</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36,910,134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4,753,639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7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236,341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1,474,758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(4,289,741</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39,085,131</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1640" w:type="dxa"/>
        <w:jc w:val="left"/>
        <w:tblInd w:w="0" w:type="dxa"/>
        <w:tblLayout w:type="fixed"/>
        <w:tblCellMar>
          <w:top w:w="0" w:type="dxa"/>
          <w:left w:w="0" w:type="dxa"/>
          <w:bottom w:w="0" w:type="dxa"/>
          <w:right w:w="0" w:type="dxa"/>
        </w:tblCellMar>
      </w:tblPr>
      <w:tblGrid>
        <w:gridCol w:w="950"/>
        <w:gridCol w:w="90"/>
        <w:gridCol w:w="187"/>
        <w:gridCol w:w="1198"/>
        <w:gridCol w:w="125"/>
        <w:gridCol w:w="90"/>
        <w:gridCol w:w="260"/>
        <w:gridCol w:w="1020"/>
        <w:gridCol w:w="90"/>
        <w:gridCol w:w="90"/>
        <w:gridCol w:w="170"/>
        <w:gridCol w:w="1085"/>
        <w:gridCol w:w="125"/>
        <w:gridCol w:w="90"/>
        <w:gridCol w:w="173"/>
        <w:gridCol w:w="1107"/>
        <w:gridCol w:w="125"/>
        <w:gridCol w:w="90"/>
        <w:gridCol w:w="170"/>
        <w:gridCol w:w="1130"/>
        <w:gridCol w:w="125"/>
        <w:gridCol w:w="90"/>
        <w:gridCol w:w="179"/>
        <w:gridCol w:w="1146"/>
        <w:gridCol w:w="125"/>
        <w:gridCol w:w="90"/>
        <w:gridCol w:w="199"/>
        <w:gridCol w:w="1186"/>
        <w:gridCol w:w="135"/>
      </w:tblGrid>
      <w:tr>
        <w:trPr/>
        <w:tc>
          <w:tcPr>
            <w:tcW w:w="95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465" w:type="dxa"/>
            <w:gridSpan w:val="2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 Ended December 31, 2024</w:t>
            </w:r>
          </w:p>
        </w:tc>
        <w:tc>
          <w:tcPr>
            <w:tcW w:w="135"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Chanson</w:t>
              <w:br/>
              <w:t>International</w:t>
              <w:br/>
              <w:t>(Cayman</w:t>
              <w:br/>
              <w:t>Islands)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Subsidiaries</w:t>
              <w:br/>
              <w:t>(British</w:t>
              <w:br/>
              <w:t>Virgin</w:t>
              <w:br/>
              <w:t>Islands/</w:t>
              <w:br/>
              <w:t>Hong Kong)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Xinjiang</w:t>
              <w:br/>
              <w:t>United</w:t>
              <w:br/>
              <w:t>Family</w:t>
              <w:br/>
              <w:t>(PRC)</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Xinjiang</w:t>
              <w:br/>
              <w:t>United</w:t>
              <w:br/>
              <w:t>Family’s</w:t>
              <w:br/>
              <w:t>Subsidiaries</w:t>
              <w:br/>
              <w:t>(USA)</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VIEs</w:t>
              <w:br/>
              <w:t>(PRC)</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Eliminations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Consolidated</w:t>
              <w:br/>
              <w:t>Total</w:t>
            </w:r>
          </w:p>
        </w:tc>
        <w:tc>
          <w:tcPr>
            <w:tcW w:w="135"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9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provided by operating activities</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(36,123</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20" w:type="dxa"/>
            <w:tcBorders/>
            <w:shd w:fill="CCEEFF" w:val="clear"/>
            <w:vAlign w:val="center"/>
          </w:tcPr>
          <w:p>
            <w:pPr>
              <w:pStyle w:val="TableContents"/>
              <w:bidi w:val="0"/>
              <w:spacing w:before="0" w:after="283"/>
              <w:jc w:val="right"/>
              <w:rPr/>
            </w:pPr>
            <w:r>
              <w:rPr/>
              <w:t>         </w:t>
            </w: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(5,782,130</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(1,017,590</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10,373,881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3,538,038</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9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provided by investing activities</w:t>
            </w:r>
          </w:p>
        </w:tc>
        <w:tc>
          <w:tcPr>
            <w:tcW w:w="9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8"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(5,916,565</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2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1,922,774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1,394,709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(489,361</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4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4,997,903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1,909,460</w:t>
            </w:r>
          </w:p>
        </w:tc>
        <w:tc>
          <w:tcPr>
            <w:tcW w:w="135" w:type="dxa"/>
            <w:tcBorders/>
            <w:vAlign w:val="center"/>
          </w:tcPr>
          <w:p>
            <w:pPr>
              <w:pStyle w:val="TableContents"/>
              <w:bidi w:val="0"/>
              <w:spacing w:before="0" w:after="283"/>
              <w:ind w:left="0" w:right="0" w:hanging="180"/>
              <w:jc w:val="left"/>
              <w:rPr/>
            </w:pPr>
            <w:r>
              <w:rPr/>
              <w:t> </w:t>
            </w:r>
          </w:p>
        </w:tc>
      </w:tr>
      <w:tr>
        <w:trPr/>
        <w:tc>
          <w:tcPr>
            <w:tcW w:w="9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provided by (used in) financing activities</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5,938,994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3,832,063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(831,236</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1,408,828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(4,997,903</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5,350,746</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1595" w:type="dxa"/>
        <w:jc w:val="left"/>
        <w:tblInd w:w="0" w:type="dxa"/>
        <w:tblLayout w:type="fixed"/>
        <w:tblCellMar>
          <w:top w:w="0" w:type="dxa"/>
          <w:left w:w="0" w:type="dxa"/>
          <w:bottom w:w="0" w:type="dxa"/>
          <w:right w:w="0" w:type="dxa"/>
        </w:tblCellMar>
      </w:tblPr>
      <w:tblGrid>
        <w:gridCol w:w="950"/>
        <w:gridCol w:w="90"/>
        <w:gridCol w:w="171"/>
        <w:gridCol w:w="1214"/>
        <w:gridCol w:w="125"/>
        <w:gridCol w:w="90"/>
        <w:gridCol w:w="260"/>
        <w:gridCol w:w="1020"/>
        <w:gridCol w:w="90"/>
        <w:gridCol w:w="90"/>
        <w:gridCol w:w="170"/>
        <w:gridCol w:w="1085"/>
        <w:gridCol w:w="125"/>
        <w:gridCol w:w="90"/>
        <w:gridCol w:w="173"/>
        <w:gridCol w:w="1107"/>
        <w:gridCol w:w="125"/>
        <w:gridCol w:w="90"/>
        <w:gridCol w:w="170"/>
        <w:gridCol w:w="1085"/>
        <w:gridCol w:w="125"/>
        <w:gridCol w:w="90"/>
        <w:gridCol w:w="179"/>
        <w:gridCol w:w="1146"/>
        <w:gridCol w:w="125"/>
        <w:gridCol w:w="90"/>
        <w:gridCol w:w="171"/>
        <w:gridCol w:w="1214"/>
        <w:gridCol w:w="135"/>
      </w:tblGrid>
      <w:tr>
        <w:trPr/>
        <w:tc>
          <w:tcPr>
            <w:tcW w:w="95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420" w:type="dxa"/>
            <w:gridSpan w:val="2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 Ended December 31, 2023</w:t>
            </w:r>
          </w:p>
        </w:tc>
        <w:tc>
          <w:tcPr>
            <w:tcW w:w="135"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Chanson</w:t>
              <w:br/>
              <w:t>International</w:t>
              <w:br/>
              <w:t>(Cayman</w:t>
              <w:br/>
              <w:t>Islands)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Subsidiaries</w:t>
              <w:br/>
              <w:t>(British</w:t>
              <w:br/>
              <w:t>Virgin</w:t>
              <w:br/>
              <w:t>Islands/</w:t>
              <w:br/>
              <w:t>Hong Kong)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Xinjiang</w:t>
              <w:br/>
              <w:t>United</w:t>
              <w:br/>
              <w:t>Family</w:t>
              <w:br/>
              <w:t>(PRC)</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Xinjiang</w:t>
              <w:br/>
              <w:t>United</w:t>
              <w:br/>
              <w:t>Family’s</w:t>
              <w:br/>
              <w:t>Subsidiaries</w:t>
              <w:br/>
              <w:t>(USA)</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VIEs</w:t>
              <w:br/>
              <w:t>(PRC)</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Eliminations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Consolidated</w:t>
              <w:br/>
              <w:t>Total</w:t>
            </w:r>
          </w:p>
        </w:tc>
        <w:tc>
          <w:tcPr>
            <w:tcW w:w="135"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9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provided by operating activities</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20" w:type="dxa"/>
            <w:tcBorders/>
            <w:shd w:fill="CCEEFF" w:val="clear"/>
            <w:vAlign w:val="center"/>
          </w:tcPr>
          <w:p>
            <w:pPr>
              <w:pStyle w:val="TableContents"/>
              <w:bidi w:val="0"/>
              <w:spacing w:before="0" w:after="283"/>
              <w:jc w:val="right"/>
              <w:rPr/>
            </w:pPr>
            <w:r>
              <w:rPr/>
              <w:t>         </w:t>
            </w: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(1,345,862</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(2,476,288</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868,297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(2,953,853</w:t>
            </w:r>
          </w:p>
        </w:tc>
        <w:tc>
          <w:tcPr>
            <w:tcW w:w="135"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9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investing activities</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4"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(12,000,100</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2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(99,784</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(1,776,975</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(586,657</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4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4,000,100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4"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(10,463,416</w:t>
            </w:r>
          </w:p>
        </w:tc>
        <w:tc>
          <w:tcPr>
            <w:tcW w:w="135" w:type="dxa"/>
            <w:tcBorders/>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9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provided by (used in) financing activities</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12,030,369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960,974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4,693,811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(1,626,029</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(4,000,100</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12,059,025</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ROLL-FORWARD OF INVESTMENT IN SUBSIDIARIES AND VIES</w:t>
      </w:r>
    </w:p>
    <w:p>
      <w:pPr>
        <w:pStyle w:val="TextBody"/>
        <w:bidi w:val="0"/>
        <w:spacing w:before="0" w:after="0"/>
        <w:ind w:left="0" w:right="0" w:hanging="0"/>
        <w:jc w:val="center"/>
        <w:rPr>
          <w:caps w:val="false"/>
          <w:smallCaps w:val="false"/>
        </w:rPr>
      </w:pPr>
      <w:r>
        <w:rPr>
          <w:caps w:val="false"/>
          <w:smallCaps w:val="false"/>
        </w:rPr>
        <w:t> </w:t>
      </w:r>
    </w:p>
    <w:tbl>
      <w:tblPr>
        <w:tblW w:w="4625" w:type="dxa"/>
        <w:jc w:val="left"/>
        <w:tblInd w:w="0" w:type="dxa"/>
        <w:tblLayout w:type="fixed"/>
        <w:tblCellMar>
          <w:top w:w="0" w:type="dxa"/>
          <w:left w:w="0" w:type="dxa"/>
          <w:bottom w:w="0" w:type="dxa"/>
          <w:right w:w="0" w:type="dxa"/>
        </w:tblCellMar>
      </w:tblPr>
      <w:tblGrid>
        <w:gridCol w:w="3110"/>
        <w:gridCol w:w="90"/>
        <w:gridCol w:w="170"/>
        <w:gridCol w:w="1085"/>
        <w:gridCol w:w="170"/>
      </w:tblGrid>
      <w:tr>
        <w:trPr/>
        <w:tc>
          <w:tcPr>
            <w:tcW w:w="31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December 31, 2023</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(6,202,086</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1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Comprehensive loss for the year</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(37,073</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1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December 31, 2024</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(6,239,159</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1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Comprehensive loss for the year</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(117,161</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1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December 31, 2025</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(6,356,320</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Capitalization and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Reasons for the Offer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Our Corporate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Our corporate structure, in particular the VIE Agreements, are subject to significant risks, as set forth in the following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VIE Agreements with the UFG Entities and the UFG Operators may not be effective in providing control over the UFG Entities.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substantial part of our current revenue and net income are derived from the UFG Entities. We do not have an ownership interest in any of the UFG Entities. 43 of the UFG Entities are owned by the Chairman, Mr. Gang Li, 4 of the entities are owned by Ms. Hui Wang, the Marketing Director of Xinjiang United Family, 4 of the entities are owned by Mr. Peng Chen, and 2 of the entities are owned by Ms. Xiaoli Zhao For accounting purposes, our wholly owned subsidiary directs the activities and receives the economic benefits of the VIEs through the VIE Agreements, which enable us to consolidate the financial results of the VIEs in our consolidated financial statements under U.S. GAAP. The VIE Agreements, however, may not be as effective in providing us with the necessary control over each UFG Entity and its operations. Any deficiency in the VIE Agreements may result in our loss of control over the management and operations of the UFG Entities, which will result in a significant loss in the value of an investment in our Company. We rely on contractual rights through the VIE Agreements to control management of the UFG Entities, which exposes us to the risk of potential breach of contract by the UFG Operators. In addition, it may be difficult for us to change our corporate structure if such UFG Operators refuse to cooperate with us.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VIE Agreements with the UFG Entities are governed by the laws of the PRC and we may have difficulty in enforcing any rights we may have under the VIE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VIE Agreements are governed by PRC laws and provide for the resolution of disputes through arbitration in the PRC, they will be interpreted in accordance with PRC law and any disputes will be resolved in accordance with PRC legal procedures. Disputes arising from the VIE Agreements will be resolved through arbitration in the PRC, although these disputes do not include claims arising under the U.S. federal securities law and thus do not prevent you from pursuing claims under the U.S. federal securities law. The legal environment in the PRC is not as developed as in the U.S. As a result, uncertainties in the PRC legal system could further limit our ability to enforce the VIE Agreements, through arbitration, litigation, and other legal proceedings remain in the PRC, which could limit our ability to enforce the VIE Agreements, and we may not be deemed to have a controlling financial interest in, or be the primary beneficiary of, the VIEs for accounting purposes. Furthermore, these contracts may not be enforceable in the PRC if PRC government authorities or courts take a view that such contracts contravene PRC laws and regulations or are otherwise not enforceable for public policy reasons. In the event we are unable to enforce the VIE Agreements, we may not be able to exert effective control over the UFG Entities for accounting purposes, and our ability to conduct our business may be materially and adversely affected.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PRC government determines that the VIE Agreements do not comply with PRC regulations, or if these regulations change or are interpreted differently in the future, we may be unable to assert our contractual rights over the assets of the VIEs, and our Class A Ordinary Shares may decline in value or become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Recently, the PRC government adopted a series of regulatory actions and issued statements to regulate business operations in China, including those related to VIEs. As of the date of this annual report, there are no relevant laws or regulations in the PRC that prohibit companies whose entity interests are within the PRC from listing on overseas stock exchanges. The VIE Agreements have not been tested in a court of law in China as of the date of this annual report. Although we believe that our corporate structure and the VIE Agreements comply with current applicable PRC laws and regulations, in the event that PRC government determines that the VIE Agreements do not comply with PRC regulations, or if these regulations change or are interpreted differently in the future, we may be unable to assert our contractual rights over the assets of the VIEs, and our Class A Ordinary Shares may decline in value or become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consolidate the financial results of some of our affiliated companies or such consolidation could materially adversely affect our operating results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substantial part of our business is conducted through the UFG Entities, which currently are considered for accounting purposes as VIEs, and we are considered the primary beneficiary, enabling us to consolidate our financial results in our consolidated financial statements. In the event that in the future a company we hold as a VIE would no longer meet the definition of a VIE, or we are deemed not to be the primary beneficiary, we would not be able to consolidate line by line that entity’s financial results in our consolidated financial statements for PRC purposes. Also, if in the future an affiliate company becomes a VIE and we become the primary beneficiary, we would be required to consolidate that entity’s financial results in our consolidated financial statements for PRC purposes. If such entity’s financial results were negative, this could have a corresponding negative impact on our operating results for PRC purposes. However, any material variations in the accounting principles, practices, and methods used in preparing financial statements for PRC purposes from the principles, practices, and methods generally accepted in the U.S. and in the United States Securities and Exchange Commission (the “SEC”) accounting regulations must be discussed, quantified, and reconciled in financial statements for the U.S. GAAP and SEC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VIE Agreements between Xinjiang United Family and UFG may result in adverse tax consequences.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PRC laws and regulations emphasize the requirement of an arm’s length basis for transfer pricing arrangements between related parties. The laws and regulations also require enterprises with related party transactions to prepare transfer pricing documentation to demonstrate the basis for determining pricing, the computation methodology, and detailed explanations. Related party arrangements and transactions may be subject to challenge or tax inspection by the PRC tax authorities.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 tax inspection, if our transfer pricing arrangements between Xinjiang United Family and UFG are judged as tax avoidance, or related documentation does not meet the requirements, Xinjiang United Family and UFG may be subject to material adverse tax consequences, such as transfer pricing adjustment. A transfer pricing adjustment could result in a reduction, for PRC tax purpose, of adjustments recorded by Xinjiang United Family, which could adversely affect us by (i) increasing UFG’s tax liabilities without reducing our subsidiaries’ tax liabilities, which could further result in interest being levied to us for unpaid taxes or (ii) limiting the ability of our PRC companies to maintain preferential tax treatment and other financial incentives.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shareholder has potential conflicts of interest with our Company which may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Gang Li is our shareholder and Chairman of the Company while 43 of the UFG Entities are owned by Mr. Gang Li as of the date of this annual report,. Given his significant interest in our Company, there is a risk that when conflicts of interest arise, Mr. Gang Li will not act completely in the best interests of our shareholders (as opposed to his personal interest) or that conflicts of interests will be resolved in our favor. For example, he may determine that it is in UFG’s interests to sever the VIE Agreements with us, irrespective of the effect such action may have on us. Mr. Gang Li has acted as guarantor for certain loans of Xinjiang United Family, which may create conflicts of interest with our Company. In addition, he could violate his fiduciary duties by diverting business opportunities from us to others, thereby affecting the amount of payment UFG is obligated to remit to us under the consulting services agreements.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is comprised of a majority of independent directors. These independent directors may be in a position to deter and counteract the actions of our officers or non-independent directors (including, potentially, Mr. Gang Li) that are against our interests. We cannot, however, give any assurance as to how the independent directors will act in any given circumstance. Further, if we or the independent directors cannot resolve any conflicts of interest between us and those of our officers and directors who are management members of our affiliated companies in the PRC, we would have to rely on legal proceedings, which could result in the disruption of our business.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you believe that your rights have been infringed under the securities laws or otherwise as a result of any one of the circumstances described above, it may be difficult or impossible for you to bring an action against us or our officers or directors who reside within the PRC. Even if you are successful in bringing an action, the PRC laws may render you unable to enforce a judgment against our assets and management, most of which are located in the PRC.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the approval certificates and business licenses held by UFG, and any deterioration of the relationship between Xinjiang United Family and UFG could materially and adversely affect our overall business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VIE Agreements, a substantial part of our business in the PRC is undertaken on the basis of the approvals, certificates, business licenses, and other requisite licenses held by each UFG Entity. There is no assurance that each UFG Entity will be able to renew its licenses or certificates when their terms expire with substantially similar terms as the ones they currently hold.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our relationship with each UFG Entity is governed by the VIE Agreements, which are intended to enable us, through our indirect ownership of Xinjiang United Family, to have a controlling financial interest in and be the primary beneficiary of each UFG Entity for accounting purposes. However, the VIE Agreements may not be effective in providing control over the applications for and maintenance of the licenses required for our business operations. Any UFG Entity could violate the VIE Agreements, go bankrupt, suffer from difficulties in its business, or otherwise become unable to perform its obligations under the VIE Agreements and, as a result, our operations, reputation, business and stock price could be severely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exercise of our option to purchase part or all of the assets of any UFG Entity under the Call Option Agreement might be subject to approval by the PRC government. Our failure to obtain this approval may impair our ability to substantially control the UFG Entities and could result in actions by the UFG Entities that conflict with our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Call Option Agreement with UFG gives Xinjiang United Family the option to purchase all or part of the assets of UFG. However, the option may not be exercised if the exercise would violate any applicable laws and regulations in the PRC or cause any license or permit held by, and necessary for the operation of UFG, to be cancelled or invalidated. If we decide to exercise such a call option and PRC government approval is required and we do not, or cannot, obtain such approval, we may be unable to purchase the assets that are the subject of such call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we rely on the Exclusive Service Agreement with each UFG Entity for our revenue, the termination of these agreements would severely and detrimentally affect our continuing business viability under our current corporate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holding company and during the years ended December 31, 2025, 2024 and 2023, approximately 56%, 62%, and 54%, of our revenue was derived from the UFG Entities, respectively. As a result, we currently rely for our revenue on dividends payments from Xinjiang United Family after it receives payments from the UFG Entities pursuant to the exclusive service agreements. The term of the exclusive service agreement is 10 years, unless terminated earlier by Xinjiang United Family with a 30-day prior notice. UFG does not have the right to terminate that agreement unilaterally. The agreement would renew automatically by 10 years after expiration, with no limit on times of renewal. Because neither we nor our subsidiaries own equity interests of UFG, the termination of the exclusive service agreement would sever our ability to continue receiving payments from the UFG Entities under our current holding company structure. While we are currently not aware of any event or reason that may cause the exclusive service agreement to terminate, such an event or reason may occur in the future. In the event that the exclusive service agreements are terminated, this may have a severe and detrimental effect on our continuing business viability under our current corporate structure, which, in turn, may affect the value of your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Doing Business in the PRC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China’s economic, political, or social conditions or government policies could have a material adverse effect on our business and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most of our assets are owned and most of our operations are conducted through our PRC subsidiary and the VIEs located in China. Accordingly, our business, financial condition, results of operations, and prospects may be influenced to a significant degree by political, economic, and social conditions in China generally. The Chinese economy differs from the economies of most developed countries in many respects, including the level of government involvement, level of development, growth rate, control of foreign exchange, and allocation of resources. Although the Chinese government has implemented measures emphasizing the utilization of market forces for economic reform, including the reduction of state ownership of productive assets and the establishment of improved corporate governance in business enterprises, a substantial portion of productive assets in China is still owned by the government. In addition, the Chinese government continues to play a significant role in regulating industry development by imposing industrial policies. The Chinese government also exercises significant control over China’s economic growth by allocating resources, controlling payment of foreign currency-denominated obligations, setting monetary policy, and providing preferential treatment to particular industries or companies.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Chinese economy has experienced significant growth over the past decades, growth has been uneven, both geographically and among various sectors of the economy. Any adverse changes in economic conditions in China, in the policies of the Chinese government, or in the laws and regulations in China could have a material adverse effect on the overall economic growth of China. Such developments could adversely affect our business and operating results, reduce demand for the products of our PRC subsidiary and the VIEs, and weaken our competitive position. The Chinese government has implemented various measures to encourage economic growth and guide the allocation of resources. Some of these measures may benefit the overall Chinese economy, but may have a negative effect on us. For example, our financial condition and results of operations may be adversely affected by government control over capital investments or changes in tax regulations. In addition, in the past the Chinese government has implemented certain measures, including interest rate adjustments, to control the pace of economic growth. These measures may cause decreased economic activities in China, which may adversely affect our business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Uncertainties in the interpretation and enforcement of PRC laws and regulations and changes in policies, rules, and regulations in China, which may be quick with little advance notice, could limit the legal protection available to you and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legal system is based on written statutes. Unlike common law systems, it is a system in which legal cases have limited value as precedents. In the late 1970s, the PRC government began to promulgate a comprehensive system of laws and regulations governing economic matters in general. The legislation over the past three decades has significantly increased the protection afforded to various forms of foreign or private-sector investment in China. Our PRC subsidiary and the VIEs are subject to various PRC laws and regulations generally applicable to companies in China. Since these laws and regulations are relatively new and the PRC legal system continues to rapidly evolve, however, the interpretations of many laws, regulations, and rules are not always uniform and enforcement of these laws, regulations, and rules involve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have to resort to administrative and court proceedings to enforce our legal rights. Since PRC administrative and court authorities have significant discretion in interpreting and implementing statutory and contractual terms, however, it may be more difficult to evaluate the outcome of administrative and court proceedings and the level of legal protection we enjoy in the PRC legal system than in more developed legal systems. Furthermore, the PRC legal system is based in part on government policies, internal rules, and regulations that may have retroactive effect and may change quickly with little advance notice. As a result, we may not be aware of our violation of these policies and rules until sometime after the violation. Such uncertainties, including uncertainties over the scope and effect of our contractual, property (including intellectual property), and procedural rights, and any failure to respond to changes in the regulatory environment in China could materially and adversely affect our business and impede our ability to continue our operations. For example, on December 29, 2023, the Standing Committee of the National People’s Congress promulgated the amended PRC Company Law, which will come into effect on July 1, 2024 and supersede the existing PRC Company Law. The amended PRC Company Law provides stricter requirements on capital contribution of a company established in mainland China. On February 6, 2024, the State Administration for Market Regulation of PRC (“SAMR”) issued a draft of the Provisions of the State Council on Implementing the Registered Capital Registration and Management System under the PRC Company Law for public comments until March 5, 2024, which further specify the detailed requirements and measures of the registration and management of registered capital under the amended PRC Company Law. Pursuant to the amended PRC Company Law, we may be required to fulfill the obligations of capital contribution to our PRC subsidiary and the VIEs in China or to provide financial support to the nominee shareholders of the VIEs within a five-year contribution term, while the current PRC Company Law has no time limit for subscribed contribution period. However, since the amended PRC Company Law is still relatively new and the foregoing draft implementation measures were released for public comment only, there is still uncertainty regarding the implementation and interpretation of the amended PRC Company Law and the adoption and effective date of such implementation measures.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experience difficulties in effecting service of legal process, enforcing foreign judgments, or bringing actions in China against us or our management based on foreign laws. It may also be difficult for you or overseas regulators to conduct investigations or collect evidence within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exempted company with limited liability incorporated and registered under the laws of the Cayman Islands, and we conduct most of our operations in China and most of our assets are located in China as of the date of this annual report. In addition, all of our directors and officers are nationals or residents of the PRC and all or a substantial portion of their assets are located outside the U.S. As a result, it may be difficult for you to effect service of process upon us or those persons inside mainland China. In addition, there is uncertainty as to whether the courts of the Cayman Islands or the PRC would recognize or enforce judgments of U.S. courts against us or such persons predicated upon the civil liability provisions of U.S. securities laws or those of any U.S. state.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recognition and enforcement of foreign judgments are provided for under the </w:t>
      </w:r>
      <w:r>
        <w:rPr>
          <w:rFonts w:ascii="Times New Roman;Times;Serif" w:hAnsi="Times New Roman;Times;Serif"/>
          <w:b w:val="false"/>
          <w:i/>
          <w:caps w:val="false"/>
          <w:smallCaps w:val="false"/>
          <w:sz w:val="20"/>
        </w:rPr>
        <w:t>PRC Civil Procedures Law</w:t>
      </w:r>
      <w:r>
        <w:rPr>
          <w:rFonts w:ascii="Times New Roman;Times;Serif" w:hAnsi="Times New Roman;Times;Serif"/>
          <w:b w:val="false"/>
          <w:i w:val="false"/>
          <w:caps w:val="false"/>
          <w:smallCaps w:val="false"/>
          <w:sz w:val="20"/>
        </w:rPr>
        <w:t xml:space="preserve">. PRC courts may recognize and enforce foreign judgments in accordance with the requirements of the </w:t>
      </w:r>
      <w:r>
        <w:rPr>
          <w:rFonts w:ascii="Times New Roman;Times;Serif" w:hAnsi="Times New Roman;Times;Serif"/>
          <w:b w:val="false"/>
          <w:i/>
          <w:caps w:val="false"/>
          <w:smallCaps w:val="false"/>
          <w:sz w:val="20"/>
        </w:rPr>
        <w:t>PRC Civil Procedures Law</w:t>
      </w:r>
      <w:r>
        <w:rPr>
          <w:rFonts w:ascii="Times New Roman;Times;Serif" w:hAnsi="Times New Roman;Times;Serif"/>
          <w:b w:val="false"/>
          <w:i w:val="false"/>
          <w:caps w:val="false"/>
          <w:smallCaps w:val="false"/>
          <w:sz w:val="20"/>
        </w:rPr>
        <w:t xml:space="preserve"> based either on treaties between China and the country where the judgment is made or on principles of reciprocity between jurisdictions. China does not have any treaties or other forms of written arrangement with the U.S. that provide for the reciprocal recognition and enforcement of foreign judgments. In addition, according to the </w:t>
      </w:r>
      <w:r>
        <w:rPr>
          <w:rFonts w:ascii="Times New Roman;Times;Serif" w:hAnsi="Times New Roman;Times;Serif"/>
          <w:b w:val="false"/>
          <w:i/>
          <w:caps w:val="false"/>
          <w:smallCaps w:val="false"/>
          <w:sz w:val="20"/>
        </w:rPr>
        <w:t>PRC Civil Procedures Law</w:t>
      </w:r>
      <w:r>
        <w:rPr>
          <w:rFonts w:ascii="Times New Roman;Times;Serif" w:hAnsi="Times New Roman;Times;Serif"/>
          <w:b w:val="false"/>
          <w:i w:val="false"/>
          <w:caps w:val="false"/>
          <w:smallCaps w:val="false"/>
          <w:sz w:val="20"/>
        </w:rPr>
        <w:t>, the PRC courts will not enforce a foreign judgment against us or our directors and officers if they decide that the judgment violates the basic principles of PRC laws or national sovereignty, security, or public interest. As a result, it is uncertain whether and on what basis a PRC court would enforce a judgment rendered by a court in the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may also be difficult for you or overseas regulators to conduct investigations or collect evidence within China. For example, in China, there are significant legal and other obstacles to obtaining information needed for shareholder investigations or litigation outside China or otherwise with respect to foreign entities. Although the authorities in China may establish a regulatory cooperation mechanism with its counterparts of another country or region to monitor and oversee cross-border securities activities, such regulatory cooperation with the securities regulatory authorities in the U.S. may not be efficient in the absence of a practical cooperation mechanism. Furthermore, according to Article 177 of the PRC Securities Law (“Article 177”), which became effective in March 2020, no overseas securities regulator is allowed to directly conduct investigations or evidence collection activities within the territory of the PRC. Article 177 further provides that Chinese entities and individuals are not allowed to provide documents or materials related to securities business activities to foreign agencies without prior consent from the securities regulatory authority of the PRC State Council and the competent departments of the PRC State Council. While detailed interpretation of or implementing rules under Article 177 have yet to be promulgated, the inability for an overseas securities regulator to directly conduct investigation or evidence collection activities within China may further increase difficulties faced by you in protecting your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Given the Chinese government’s significant oversight and discretion over the conduct of the business of our PRC subsidiary and the VIEs, the Chinese government may intervene or influence their operations at any time, which could result in a material change in the operations of our PRC subsidiary and the VIEs and/or the value of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Chinese government has significant oversight and discretion over the conduct of our PRC subsidiary and the VIEs and may intervene or influence their operations at any time as the government deems appropriate to further regulatory, political, and societal goals, which could result in a material change in the operations of our PRC subsidiary and the VIEs and/or the value of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Chinese government has recently published new policies that significantly affected certain industries such as the Internet industries, and we cannot rule out the possibility that it will in the future release regulations or policies regarding our industry that could adversely affect the business, financial condition, and results of operations of our PRC subsidiary and the VIEs. Furthermore, if China adopts more stringent standards with respect to certain areas such as environmental protection or corporate social responsibilities, our PRC subsidiary and the VIEs may incur increased compliance costs or become subject to additional restrictions in their operations. Certain areas of the law in China, including intellectual property rights and confidentiality protections, may also not be as effective as in the United States or other countries. In addition, we cannot predict the effects of future developments in the PRC legal system on the business operations of our PRC subsidiary and the VIEs, including the promulgation of new laws, or changes to existing laws or the interpretation or enforcement thereof. These uncertainties could limit the legal protections available to us and our investors, including you.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actions by the Chinese government, including any decision to intervene or influence the operations of our PRC subsidiary or the VIEs or to exert control over any offering of securities conducted overseas and/or foreign investment in China-based issuers, may cause us to make material changes to the operations of our PRC subsidiary or the VIEs, may limit or completely hinder our ability to offer or continue to offer securities to investors, and may cause the value of such securities to significantly decline or be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Chinese government has exercised and continues to exercise substantial control over virtually every sector of the Chinese economy through regulation and state ownership. The ability of our subsidiary and the VIEs to operate in China may be impaired by changes in its laws and regulations, including those relating to taxation, environmental regulations, land use rights, foreign investment limitations, and other matters. The central or local governments of China may impose new, stricter regulations or interpretations of existing regulations that would require additional expenditures and efforts on our part to ensure our PRC subsidiary and the VIEs’ compliance with such regulations or interpretations. As such, our PRC subsidiary and the VIEs may be subject to various government and regulatory interference in the provinces in which they operate. They could be subject to regulation by various political and regulatory entities, including various local and municipal agencies and government sub-divisions. They may incur increased costs necessary to comply with existing and newly adopted laws and regulations or penalties for any failure to comply.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government actions in the future, including any decision to intervene or influence the operations of our PRC subsidiary or the VIEs at any time or to exert control over an offering of securities conducted overseas and/or foreign investment in China-based issuers, may cause us to make material changes to the operations of our PRC subsidiary or the VIEs, may limit or completely hinder our ability to offer or continue to offer securities to investors, and/or may cause the value of such securities to significantly decline or be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greater oversight by the Cyberspace Administration of China (the “CAC”) over data security, particularly for companies seeking to list on a foreign exchange, could adversely impact our business and our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28, 2021, the CAC, together with 12 other governmental departments of the PRC, jointly promulgated the Cybersecurity Review Measures, which became effective on February 15, 2022. The Cybersecurity Review Measures provides that, in addition to critical information infrastructure operators (“CIIOs”) that intend to purchase Internet products and services, data processing operators engaging in data processing activities that affect or may affect national security must be subject to cybersecurity review by the Cybersecurity Review Office of the PRC. According to the Cybersecurity Review Measures, a cybersecurity review assesses potential national security risks that may be brought about by any procurement, data processing, or overseas listing. The Cybersecurity Review Measures further requires that CIIOs and data processing operators that possess personal data of at least one million users must apply for a review by the Cybersecurity Review Office of the PRC before conducting listings in foreign countries.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7, 2022, the CAC promulgated the Measures for the Security Assessment of Cross-border Data Transfer, which took effect on September 1, 2022. In accordance with such measures, data processors will be subject to security assessment conducted by the CAC prior to any cross-border transfer of data if the transfer involves (i) important data; (ii) personal information transferred overseas by operators of critical information infrastructure or a data processor that has processed personal data of more than one million persons; (iii) personal information transferred overseas by a data processor which has already provided personal data of 100,000 persons or sensitive personal data of 10,000 persons overseas since January 1 of the preceding year; or (iv) other circumstances as required by the CAC. In addition, any cross-border data transfer activities conducted in violation of the Measures for the Security Assessment of Cross-border Data Transfer before the effectiveness of such measures are required to be rectified within six months of the effectiveness date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2024, the State Council promulgated the Regulation on Network Data Security Management, and became effective on January 1, 2025. According to the above regulations, network data processors conducting network data processing activities that may affect or potentially affect national security shall conduct national security reviews in accordance with national regulations.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17, 2023, the China Securities Regulatory Commission (the “CSRC”) promulgated the Trial Administrative Measures of Overseas Securities Offering and Listing by Domestic Companies (the “Trial Measures”) and five supporting guidelines, which came into effect on March 31, 2023. According to the Trial Measures, a domestic enterprise involved in offering securities and listing shall comply with laws, administrative regulations, and relevant national provisions, when it comes to providing personal information and important data to foreign entities.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22, 2024, the CAC promulgated the Provisions on Regulating and Facilitating Cross-Border Data Flow, together with two guideline documents separately named the Second Version of Declaration for Security Assessment of Data Outbound and the Second Version of Filing for Personal Information Outbound Standard Contract. According to the above regulations, data processors who provide important data overseas or have transferred the non-sensitive personal information of over one million individuals overseas or the sensitive personal information of over 10,000 individuals since the beginning of a given year must declare the data for security assessment. Critical information infrastructure operators must declare data when providing personal information or important data overseas. In addition, if a data processor has not been notified by relevant government departments or local authorities, or if data has not been publicly released as important data, the data processor does not need to declare its data for security assessment as important data to exit the country.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we have not received any notice from any PRC authorities identifying our PRC subsidiary or the VIEs as CIIOs or requiring us to go through cybersecurity review or network data security review by the CAC. We believe that the operations of our PRC subsidiary and the VIEs will not be affected and that we are not subject to cybersecurity review and network data security review by the CAC, given that: (i) our PRC subsidiary and the VIEs mainly manufacture and sell bakery products and are unlikely to be classified as CIIOs by the PRC authorities; (ii) our PRC subsidiary and the VIEs make substantially all of their bakery product sales through physical stores and make only a small amount of their bakery product sales through online stores, mostly on third-party online food ordering platforms. Regarding the physical stores, our PRC subsidiary and the VIEs do not require customers to provide their personal data who use their membership cards, which function as reloadable prepaid cards, for purchase, and our PRC subsidiary and the VIEs do not collect personal data from customers who do not use membership cards. Regarding the online platforms, our PRC subsidiary and the VIEs only require customers to provide their cellphone numbers as necessary personal data when customers become online members to purchase products on third-party online food ordering platforms. As a result, we possess personal data of fewer than one million individual clients in our business operations as of the date of this annual report; (iii) since our PRC subsidiary and the VIEs are in the bakery industry, data processed in our business is unlikely to have a bearing on national security and therefore is unlikely to be classified as core or important data by the PRC authorities; and (iv) our PRC subsidiary and the VIEs have not transferred important data or personal data overseas as of the date of this annual report. We are also not subject to national security review by the relevant authorities, since we currently do not conduct data activities that may affect national security, which we understand might otherwise subject us to the Regulation on Network Data Security Management. There remains uncertainty, however, as to how the Cybersecurity Review Measures, the Measures for the Security Assessment of Cross-border Data Transfer, the Trial Measures and the Regulation on Network Data Security Management will be interpreted or implemented and whether the PRC regulatory agencies, including the CAC, may adopt new laws, regulations, rules, or detailed implementation and interpretation related to the Cybersecurity Review Measures and the Regulation on Network Data Security Management. If any such new laws, regulations, rules, or implementation and interpretation come into effect, we will take all reasonable measures and actions to comply and to minimize the adverse effect of such laws on us. We cannot guarantee, however, that we will not be subject to cybersecurity review, network data security review and national security review in the future. During such reviews, we may be required to suspend our operation or experience other disruptions to our operations. Cybersecurity review and network data security review could also result in negative publicity with respect to our Company and diversion of our managerial and financial resources, which could materially and adversely affect our business, financial conditions,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Opinions, the Trial Measures, and the revised Provisions recently issued by the PRC authorities may subject us to additional compliance requirements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General Office of the Central Committee of the Communist Party of China and the General Office of the State Council jointly issued the “Opinions on Severely Cracking Down on Illegal Securities Activities According to Law,” or the “Opinions,” which were made available to the public on July 6, 2021. The Opinions emphasized the need to strengthen the administration over illegal securities activities and the supervision on overseas listings by China-based companies. The Opinions proposed to take effective measures, such as promoting the construction of relevant regulatory systems, to deal with the risks and incidents facing China-based overseas-listed companies and the demand for cybersecurity and data privacy protection. The aforementioned policies and any related implementation rules to be enacted may subject us to additional compliance requirements in the future. Pursuant to the Trial Measures, domestic companies that seek to offer or list securities overseas, both directly and indirectly, shall complete filing procedures with the CSRC pursuant to the requirements of the Trial Measures within three working days following its submission of initial public offerings or listing application. If a domestic company fails to complete required filing procedures or conceals any material fact or falsifies any major content in its filing documents, such domestic company may be subject to administrative penalties, such as an order to rectify, warnings, fines, and its controlling shareholders, actual controllers, the person directly in charge and other directly liable persons may also be subject to administrative penalties, such as warnings and fines. See “Item 4. Information on the Company-B. Business Overview-Regulations-Regulations on Mergers &amp; Acquisitions and Overseas Listings.”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CSRC Notice, the domestic companies that have already been listed overseas before the effective date of the Trial Measures (namely, March 31, 2023) shall be deemed as existing issuers. Existing issuers are not required to complete the filing procedures immediately, and they shall be required to file with the CSRC for any subsequent offerings. In the event that we undertake new offerings or fundraising activities in the future, we may be required to complete necessary filing procedures pursuant to the Trial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24, 2023, the CSRC, together with the Ministry of Finance of the PRC (the “MOF”), National Administration of State Secrets Protection and National Archives Administration of China, revised the Provisions issued by the CSRC and National Administration of State Secrets Protection and National Archives Administration of China in 2009, or the “Provisions.” The revised Provisions were issued under the title the “Provisions on Strengthening Confidentiality and Archives Administration of Overseas Securities Offering and Listing by Domestic Companies,” and came into effect on March 31, 2023 together with the Trial Measures. One of the major revisions to the revised Provisions is expanding their application to cover indirect overseas offering and listing, as is consistent with the Trial Measures. The revised Provisions require that, among other things, (a) a domestic company that plans to, either directly or indirectly through its overseas listed entity, publicly disclose or provide to relevant individuals or entities, including securities companies, securities service providers, and overseas regulators, any documents and materials that contain state secrets or working secrets of government agencies, shall first obtain approval from competent authorities according to law, and file with the secrecy administrative department at the same level; and (b) a domestic company that plans to, either directly or indirectly through its overseas listed entity, publicly disclose or provide to relevant individuals and entities, including securities companies, securities service providers, and overseas regulators, any other documents and materials that, if leaked, will be detrimental to national security or public interest, shall strictly fulfill relevant procedures stipulated by applicable national regulations. Any failure or perceived failure by our Company, our subsidiaries, or the VIEs to comply with the above confidentiality and archives administration requirements under the revised Provisions and other PRC laws and regulations may result in the relevant entities being held legally liable by competent authorities, and referred to the judicial organ to be investigated for criminal liability if suspected of committing a crime.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the Trial Measures, the revised Provisions, and any related implementing rules to be enacted may subject us to additional compliance requirements in the future. As there are still uncertainties regarding the interpretation and implementation of such regulatory guidance, we cannot assure you that we will be able to comply with all new regulatory requirements of the Opinions, the Trial Measures, the revised Provisions, or any future implementing rules on a timely basis,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joint statement by the SEC and the Public Company Accounting Oversight Board (United States) (the “PCAOB”), rule changes by Nasdaq, and the Holding Foreign Companies Accountable Act (the “HFCA Act”) all call for additional and more stringent criteria to be applied to emerging market companies upon assessing the qualification of their auditors, especially the non-U.S. auditors who are not inspected by the PCAOB. These developments could add uncertainties to our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20, 2020, the U.S. Senate passed the HFCA Act requiring a foreign company to certify it is not owned or controlled by a foreign government if the PCAOB is unable to audit specified reports because the company uses a foreign auditor not subject to PCAOB inspection. If the PCAOB is unable to inspect the company’s auditors for three consecutive years, the issuer’s securities are prohibited to trade on a national exchange. On December 2, 2020, the U.S. House of Representatives approved the HFCA Act. On December 18, 2020, the HFCA Act was signed into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22, 2021, the PCAOB adopted a final rule implementing the HFCA Act, which provides a framework for the PCAOB to use when determining, as contemplated under the HFCA Act, whether the board of directors of a company is unable to inspect or investigate completely registered public accounting firms located in a foreign jurisdiction because of a position taken by one or more authorities in that jurisdiction.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16, 2021, the PCAOB issued a report on its determinations that it is unable to inspect or investigate completely PCAOB-registered public accounting firms headquartered in mainland China and in Hong Kong because of positions taken by PRC and Hong Kong authorities in those jurisdictions.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26, 2022, the CSRC, the MOF, and the PCAOB signed the Protocol governing inspections and investigations of audit firms based in mainland China and Hong Kong, taking the first step toward opening access for the PCAOB to inspect and investigate registered public accounting firms headquartered in mainland China and Hong Kong. Pursuant to the fact sheet with respect to the Protocol disclosed by the SEC, the PCAOB shall have independent discretion to select any issuer audits for inspection or investigation and has the unfettered ability to transfer information to the SEC. On December 15, 2022, the PCAOB determined that the PCAOB was able to secure complete access to inspect and investigate registered public accounting firms headquartered in mainland China and Hong Kong and voted to vacate its previous determinations to the contrary. However, should PRC authorities obstruct or otherwise fail to facilitate the PCAOB’s access in the future, the PCAOB will consider the need to issue a new determination.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prior auditor from September 29, 2022 to July 9, 2023, Marcum Asia CPAs LLP (“Marcum Asia”), had been inspected by the PCAOB on a regular basis in the audit period, and our current auditor, Assentsure PAC (“Assentsure”), as an auditor of companies that are traded publicly in the United States and a firm registered with the PCAOB, is subject to laws in the United States pursuant to which the PCAOB conducts regular inspections to assess its compliance with the applicable professional standards. Assentsure is headquartered in Singapore, and is inspected by the PCAOB on a regular basis. None of Marcum Asia, or Assentsure is subject to the determinations issued by the PCAOB on December 16, 2021. However, the recent developments would add uncertainties to our offerings and we cannot assure you whether the national securities exchange or regulatory authorities would apply additional and more stringent criteria to us after considering the effectiveness of our auditor’s audit procedures and quality control procedures, adequacy of personnel and training, or sufficiency of resources, geographic reach, or experience as it relates to our audit. In addition, the HFCA Act, which requires that the PCAOB be permitted to inspect an issuer’s public accounting firm within three years, may result in the delisting of our Company or prohibition of trading in our Class A Ordinary Shares in the future if the PCAOB is unable to inspect our accounting firm at such future time. On June 22, 2021, the U.S. Senate passed the Accelerating Holding Foreign Companies Accountable Act, and on December 29, 2022, the Consolidated Appropriations Act was signed into law by President Biden, which contained, among other things, an identical provision to the Accelerating Holding Foreign Companies Accountable Act and amended the HFCA Act by requiring the SEC to prohibit an issuer’s securities from trading on any U.S. stock exchanges if its auditor is not subject to PCAOB inspections for two consecutive years instead of three, thus reducing the time period for triggering the prohibition on trading.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 the extent cash in the business is in the PRC or a PRC entity, the funds may not be available to fund operations or for other use outside of the PRC due to interventions in or the imposition of restrictions and limitations on the ability of our Company, our subsidiaries, or the VIEs by the PRC government to transfer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Relevant PRC laws and regulations permit the companies in the PRC to pay dividends only out of their retained earnings, if any, as determined in accordance with PRC accounting standards and regulations. Additionally, each of the companies in the PRC are required to set aside at least 10% of its after-tax profits each year, if any, to fund a statutory reserve until such reserve reaches 50% of its registered capital. The companies in the PRC are also required to further set aside a portion of their after-tax profits to fund the employee welfare fund, although the amount to be set aside, if any, is determined at their discretion. These reserves are not distributable as cash dividends. Furthermore, in order for us to pay dividends to our shareholders, we will rely on payments made from the VIEs to Xinjiang United Family, pursuant to the VIE Agreements, and the distribution of such payments to Jenyd as dividends from Xinjiang United Family, and then to our Company. If Xinjiang United Family and the VIEs incur debt on their own behalf in the future, the instruments governing the debt may restrict their ability to pay dividends or make other payments to 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cash dividends, if any, will be paid in U.S. dollars. If we are considered a tax resident enterprise of the PRC for tax purposes, any dividends we pay to our overseas shareholders may be regarded as China-sourced income and as a result may be subject to PRC withholding tax. See “-Under the EIT Law, we may be classified as a PRC ‘resident enterprise’ for PRC enterprise income tax purposes. Such classification would likely result in unfavorable tax consequences to us and our non-PRC shareholders and have a material adverse effect on our results of operations and the value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government also imposes controls on the convertibility of RMB into foreign currencies and, in certain cases, the remittance of currency out of the PRC. The majority of our, Xinjiang United Family’s, and the VIEs’ income is received in RMB and shortages in foreign currencies may restrict our ability to pay dividends or other payments, or otherwise satisfy our foreign currency denominated obligations, if any. Under existing PRC foreign exchange regulations, payments of current account items, including profit distributions, interest payments and expenditures from trade-related transactions, can be made in foreign currencies without prior approval from SAFE as long as certain procedural requirements are met. Approval from appropriate government authorities is required if RMB is converted into foreign currency and remitted out of the PRC to pay capital expenses such as the repayment of loans denominated in foreign currencies. The PRC government may, at its discretion, impose restrictions on access to foreign currencies for current account transactions and if this occurs in the future, we may not be able to pay dividends in foreign currencies to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above, to the extent cash in the business is in the PRC or a PRC entity, such funds or assets may not be available to fund operations or for other use outside of the PRC, due to interventions in or the imposition of restrictions and limitations on the ability of us, our subsidiaries, or the VIEs by the PRC government to transfer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obtain requisite approvals, licenses, or permits or failure to comply with any requirements of PRC laws, regulations, and policies may materially and adversely affect our daily operations and hinder our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operations of the PRC Stores are subject to extensive legal and regulatory requirements. They are required to hold a number of licenses and permits in connection with their operations, principally including food production permits and food business permits, before commencement of operations. Failure to obtain such permits or loss of or failure to renew them would be in violation of applicable laws and regulations. If the PRC Stores are found to be in violation of applicable laws and regulations, they could be subject to administrative punishment, including fines, injunctions, asset seizures as well as compulsory suspension of business, any of which could have a material adverse effect on their business, financial condition, results of operations, and prospects. As of the date of this annual report, except one UFG Entity which is applying for the food business permit, all other remaining UFG Entities and branches of Xinjiang United Family have obtained the food business permit, though some of them did not have the food business permits at the time of opening. The failure of these entities to have the food business permit at the time of opening may subject us to fines or other penalties such as income confiscation, although we have not received any notice of warning or been subject to penalties or other penalties from the relevant governmental authorities regarding conducting our business without the above-mentioned permits. The UFG Entities will file renewal requests 30 business days prior to the expiration date of those permits. In general, as long as a business entity operates legally and is in good standing, its renewal request will be approved. The UFG Entities will make their best effort to renew the permits described above but we cannot assure you that they will be able to renew such permits or they will not be subject to any penalties in the future. See “Item 4. Information on the Company-B. Business Overview-Regulations-PRC Regulations-Regulations on Food Production and Food Business Operation-Food Production Permit and Food Business Permit.”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45 of the Environmental Protection Law of the People’s Republic of China stipulates that enterprises, institutions, and other producers and operators that implement pollution discharge permit management in China shall discharge pollutants in accordance with the requirements of the pollution discharge license. Based on the situation of the central factory of the PRC Stores, as well as their production equipment and production process, at least a sewage registration is required. As of the date of this annual report, Xinjiang United Family has completed the sewage registration and obtained the sewage registration receipt. See “Item 4. Information on the Company-B. Business Overview-Regulations-PRC Regulations-Regulations on Food Production and Food Business Operation-Pollutant Discharge Permit.”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Increases in labor costs in the PRC may adversely affect our business and our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China’s economy has experienced increases in labor costs in recent years. China’s overall economy and the average wage in China are expected to continue to grow. The average wage level for the employees of the PRC Stores has also increased in recent years. We expect that the labor costs of the PRC Stores, including wages and employee benefits, will continue to increase. Unless they are able to pass on these increased labor costs to their customers by increasing prices for their products, our profitability and results of operations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PRC Stores have been subject to stricter regulatory requirements in terms of entering into labor contracts with their employees and paying various statutory employee benefits, including pensions, housing fund, medical insurance, work-related injury insurance, unemployment insurance, and maternity insurance to designated government agencies for the benefit of their employees. Pursuant to the PRC Labor Contract Law (the “Labor Contract Law”) that became effective in January 2008 and was amended on December 28, 2012, and its implementing rules that became effective in September 2008, employers are subject to stricter requirements in terms of signing labor contracts, minimum wages, paying remuneration, determining the term of employees’ probation, and unilaterally terminating labor contracts. In the event that the PRC Stores decide to terminate some of their employees or otherwise change their employment or labor practices, the Labor Contract Law and its implementation rules may limit their ability to effect those changes in a desirable or cost-effective manner, which could adversely affect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interpretation and implementation of labor-related laws and regulations are still evolving, we cannot assure you that the employment practice of the PRC Stores does not and will not violate labor-related laws and regulations in China, which may subject them to labor disputes or government investigations. If the PRC Stores are deemed to have violated relevant labor laws and regulations, they could be required to provide additional compensation to their employees and our business, financial condition, and results of operations could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PRC subsidiary and the VIEs have not made adequate social insurance and housing fund contributions for all employees as required by PRC regulations, which may subject us to penalties.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According to the </w:t>
      </w:r>
      <w:r>
        <w:rPr>
          <w:rFonts w:ascii="Times New Roman;Times;Serif" w:hAnsi="Times New Roman;Times;Serif"/>
          <w:b w:val="false"/>
          <w:i/>
          <w:caps w:val="false"/>
          <w:smallCaps w:val="false"/>
          <w:sz w:val="20"/>
        </w:rPr>
        <w:t xml:space="preserve">PRC Social Insurance Law </w:t>
      </w:r>
      <w:r>
        <w:rPr>
          <w:rFonts w:ascii="Times New Roman;Times;Serif" w:hAnsi="Times New Roman;Times;Serif"/>
          <w:b w:val="false"/>
          <w:i w:val="false"/>
          <w:caps w:val="false"/>
          <w:smallCaps w:val="false"/>
          <w:sz w:val="20"/>
        </w:rPr>
        <w:t xml:space="preserve">and the </w:t>
      </w:r>
      <w:r>
        <w:rPr>
          <w:rFonts w:ascii="Times New Roman;Times;Serif" w:hAnsi="Times New Roman;Times;Serif"/>
          <w:b w:val="false"/>
          <w:i/>
          <w:caps w:val="false"/>
          <w:smallCaps w:val="false"/>
          <w:sz w:val="20"/>
        </w:rPr>
        <w:t>Administrative Regulations on the Housing Funds</w:t>
      </w:r>
      <w:r>
        <w:rPr>
          <w:rFonts w:ascii="Times New Roman;Times;Serif" w:hAnsi="Times New Roman;Times;Serif"/>
          <w:b w:val="false"/>
          <w:i w:val="false"/>
          <w:caps w:val="false"/>
          <w:smallCaps w:val="false"/>
          <w:sz w:val="20"/>
        </w:rPr>
        <w:t>, companies operating in China are required to participate in pension insurance, work-related injury insurance, medical insurance, unemployment insurance, maternity insurance (collectively known as “social insurance”), and housing funds plans, and the employers must pay all or a portion of the social insurance premiums and housing funds for their employees. For more details, please see “Item 4. Information on the Company-B. Business Overview-Regulations-PRC Regulations-Regulations on Employment and Social Welfare-Social Insurance and Housing Fund.” Our PRC subsidiary, Xinjiang United Family, and the VIEs have not made adequate social insurance and housing fund contributions for all employees. Xinjiang United Family and the VIEs may be required to make up the social insurance contributions as well as to pay late fees at the rate of 0.05% per day of the outstanding amount from the due date. With respect to housing fund plans, Xinjiang United Family may be required to pay and deposit housing funds in full and on time within the prescribed time limit. If Xinjiang United Family fails to do so, relevant authorities could file applications to competent courts for compulsory enforcement of payment and deposit.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our PRC counsel, however, it is unlikely that Xinjiang United Family and the VIEs would be ordered to pay the overdue social insurance premiums or housing funds, considering that (i) some of the employees of Xinjiang United Family and the VIEs are over the age limit to be paid social insurance premiums and housing funds; (ii) some employees chose to not receive social insurance premiums deposited by Xinjiang United Family and the VIEs and decided to participate in their own voluntary social insurance plans instead, and promised not to ask Xinjiang United Family or the VIEs to make up the payment; (iii) the requirement of social insurance and housing fund has not been implemented consistently by the local governments in China given the different levels of economic development in different locations; (iv) pursuant to the Emergency Notice on Practicing Principles of the State Council Executive Meeting and Stabilizing Work on Collecting Social Insurance Premiums promulgated by the Ministry of Human Resources and Social Security on September 21, 2018, local authorities are prohibited from recovering unpaid social insurance premiums from enterprises; (v) as of the date of this annual report, Xinjiang United Family and the VIEs have not received any notice or order from the relevant government authorities requesting them to pay social insurance premiums or housing funds in full; (vi) as of the date of this annual report, Xinjiang United Family and the VIEs have not received any complaint or report on outstanding social insurance premiums or housing funds, nor have them had any labor dispute or lawsuit with their employees on payments of social insurance premiums or housing funds; and (vii) the relevant local authorities certified in writing that there were no acts of violating human resources regulations or labor management regulations by Xinjiang United Family. As a result, we did not accrue or record the amounts of outstanding social insurance premiums or housing funds before December 31, 2020, and the amount was deemed not material. Starting from January 1, 2021, we have adequately accrued the social premiums and housing funds and the estimated late fees, if applicable, and have not received any notice or order for payment as of the date of this annual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PRC regulations relating to offshore investment activities by PRC residents may subject our PRC resident beneficial owners or our PRC subsidiary to liability or penalties, limit our ability to inject capital into our PRC subsidiary, limit our PRC subsidiary’s ability to increase its registered capital or distribute profits to us, or may otherwise adversely affect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4, 2014, SAFE issued the </w:t>
      </w:r>
      <w:r>
        <w:rPr>
          <w:rFonts w:ascii="Times New Roman;Times;Serif" w:hAnsi="Times New Roman;Times;Serif"/>
          <w:b w:val="false"/>
          <w:i/>
          <w:caps w:val="false"/>
          <w:smallCaps w:val="false"/>
          <w:sz w:val="20"/>
        </w:rPr>
        <w:t>Circular on Issues Concerning Foreign Exchange Control over the Overseas Investment and Financing and Round-trip Investment by Domestic Residents via Special Purpose Vehicles</w:t>
      </w:r>
      <w:r>
        <w:rPr>
          <w:rFonts w:ascii="Times New Roman;Times;Serif" w:hAnsi="Times New Roman;Times;Serif"/>
          <w:b w:val="false"/>
          <w:i w:val="false"/>
          <w:caps w:val="false"/>
          <w:smallCaps w:val="false"/>
          <w:sz w:val="20"/>
        </w:rPr>
        <w:t xml:space="preserve"> (“SAFE Circular 37”). According to SAFE Circular 37, prior registration with the local SAFE branch is required for PRC residents (including PRC individuals and PRC corporate entities as well as foreign individuals that are deemed as PRC residents for foreign exchange administration purpose), in connection with their direct or indirect contribution of domestic assets or interests to offshore special purpose vehicles (“SPVs”). SAFE Circular 37 further requires amendments to the SAFE registrations in the event of any changes with respect to the basic information of the offshore SPV, such as change of a PRC individual shareholder, name and operation term, or any significant changes with respect to the offshore SPV, such as an increase or decrease of capital contribution, share transfer or exchange, or mergers or divisions. SAFE Circular 37 is applicable to our shareholders who are PRC residents and may be applicable to any offshore acquisitions that we make in the future. In February 2015, SAFE promulgated a </w:t>
      </w:r>
      <w:r>
        <w:rPr>
          <w:rFonts w:ascii="Times New Roman;Times;Serif" w:hAnsi="Times New Roman;Times;Serif"/>
          <w:b w:val="false"/>
          <w:i/>
          <w:caps w:val="false"/>
          <w:smallCaps w:val="false"/>
          <w:sz w:val="20"/>
        </w:rPr>
        <w:t>Notice on Further Simplifying and Improving Foreign Exchange Administration Policy on Direct Investment</w:t>
      </w:r>
      <w:r>
        <w:rPr>
          <w:rFonts w:ascii="Times New Roman;Times;Serif" w:hAnsi="Times New Roman;Times;Serif"/>
          <w:b w:val="false"/>
          <w:i w:val="false"/>
          <w:caps w:val="false"/>
          <w:smallCaps w:val="false"/>
          <w:sz w:val="20"/>
        </w:rPr>
        <w:t xml:space="preserve"> (“SAFE Notice 13”), effective in June 2015. Under SAFE Notice 13, applications for foreign exchange registration of inbound foreign direct investments and outbound overseas direct investments, including those required under SAFE Circular 37, will be filed with qualified banks instead of SAFE. The qualified banks will directly examine the applications and accept registrations under the supervision of SAFE.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to SAFE Circular 37 and SAFE Notice 13, our ability to conduct foreign exchange activities in China may be subject to the interpretation and enforcement of the </w:t>
      </w:r>
      <w:r>
        <w:rPr>
          <w:rFonts w:ascii="Times New Roman;Times;Serif" w:hAnsi="Times New Roman;Times;Serif"/>
          <w:b w:val="false"/>
          <w:i/>
          <w:caps w:val="false"/>
          <w:smallCaps w:val="false"/>
          <w:sz w:val="20"/>
        </w:rPr>
        <w:t xml:space="preserve">Implementation Rules of the Administrative Measures for Individual Foreign Exchange </w:t>
      </w:r>
      <w:r>
        <w:rPr>
          <w:rFonts w:ascii="Times New Roman;Times;Serif" w:hAnsi="Times New Roman;Times;Serif"/>
          <w:b w:val="false"/>
          <w:i w:val="false"/>
          <w:caps w:val="false"/>
          <w:smallCaps w:val="false"/>
          <w:sz w:val="20"/>
        </w:rPr>
        <w:t>promulgated by SAFE in January 2007 (as amended and supplemented, the “Individual Foreign Exchange Rules”). Under the Individual Foreign Exchange Rules, any PRC individual seeking to make a direct investment overseas or engage in the issuance or trading of negotiable securities or derivatives overseas must make the appropriate registrations in accordance with SAFE provisions, the failure of which may subject such PRC individual to warnings, fines, or other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all of our current shareholders who are subject to the SAFE Circular 37 and Individual Foreign Exchange Rules have completed the initial registrations with the qualified banks as required by the regulations. We cannot provide any assurance that our future PRC resident beneficial owners will comply with our request to make or obtain any applicable registrations or continuously comply with all registration procedures set forth in these SAFE regulations, and it remains unclear how these SAFE regulations will be interpreted and implemented in the future. Failure or inability of our PRC resident beneficial owners to comply with these SAFE regulations may subject our PRC resident beneficial owners to fines and legal sanctions, restrict our cross-border investment activities, or limit our PRC subsidiary’s ability to distribute dividends to, or obtain foreign-exchange-dominated loans from, our Company, or prevent us from being able to make distributions or pay dividends, as a result of which our business operations and our ability to distribute profits to you could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PRC regulation of parent/subsidiary loans and direct investment by offshore holding companies to PRC entities may delay or prevent us from using the proceeds of our offerings to make loans or additional capital contributions to our PRC subsidiary, which could materially and adversely affect our liquidity and our ability to fund and expand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PRC laws and regulations, we are permitted to utilize the proceeds from our offerings to fund our PRC subsidiary by making loans to or additional capital contributions to our PRC subsidiary, subject to applicable government registration, statutory limitations on amount, and approval requirements. As of the date of this annual report, the amount of capital contributions that we have made to Xinjiang United Family is RMB34.0 million (approximately $4.7 million). Xinjiang United Family may increase its registered capital to receive additional capital contributions from us and currently there is no statutory limit to increasing its registered capital, subject to satisfaction of applicable government and filing requirements. Pursuant to relevant PRC regulations, we may provide loans to Xinjiang United Family up to the larger amount of (i) the balance between the registered total investment amount and registered capital of Xinjiang United Family, or (ii) twice the amount of the net assets of Xinjiang United Family calculated in accordance with the People’s Bank of China Circular 9, subject to satisfaction of applicable government registration or approval requirements. For any amount of loans that we may extend to Xinjiang United Family, such loans must be registered with the local counterpart of SAFE. For more details, see “Item 4. Information on the Company-B. Business Overview-Regulations-PRC Regulations-Regulations on Foreign Exchange.” These PRC laws and regulations may significantly limit our ability to use RMB converted from the net proceeds of our offerings to fund the establishment of new entities in China by our PRC subsidiary or to invest in or acquire any other PRC companies through our PRC subsidiary. Moreover, we cannot assure you that we will be able to complete the necessary registrations or obtain the necessary government approvals on a timely basis, if at all, with respect to future loans to our PRC subsidiary or future capital contributions by us to our PRC subsidiary. If we fail to complete such registrations or obtain such approvals, our ability to use the proceeds we received or expect to receive from our offshore offerings and to capitalize or otherwise fund our PRC operations may be negatively affected, which could materially and adversely affect our business, including our liquidity and our ability to fund and expand our 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Fluctuations in exchange rates could have a material adverse effect on our results of operations and the value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 of RMB against the U.S. dollar and other currencies may fluctuate and is affected by, among other things, changes in political and economic conditions in China and by China’s foreign exchange policies. On July 21, 2005, the PRC government changed its decade-old policy of pegging the value of RMB to the U.S. dollar, and RMB appreciated more than 20% against the U.S. dollar over the following three years. Between July 2008 and June 2010, this appreciation halted and the exchange rate between RMB and the U.S. dollar remained within a narrow band. Since June 2010, RMB has fluctuated against the U.S. dollar, at times significantly and unpredictably. On November 30, 2015, the Executive Board of the International Monetary Fund completed the regular five-year review of the basket of currencies that make up the Special Drawing Right and decided that with effect from October 1, 2016, RMB was determined to be a freely usable currency and would be included in the Special Drawing Right basket as a fifth currency, along with the U.S. dollar, the Euro, the Japanese yen, and the British pound. In 2023, RMB depreciated approximately 2.6% against the U.S. dollar. In 2024, the RMB appreciated by approximately 5% against the U.S. dollar. In 2025, the RMB appreciated approximately 4.2% against the U.S. dollars. With the development of the foreign exchange market and progress towards interest rate liberalization and RMB internationalization, the PRC government may in the future announce further changes to the exchange rate system, and we cannot assure you that RMB will not appreciate or depreciate significantly in value against the U.S. dollar in the future. It is difficult to predict how market forces or PRC or U.S. government policy may impact the exchange rate between RMB and the U.S. dollar in the future. Since we own and operate stores both in the PRC and the U.S., the fluctuations in exchange rates would have a negative effect on our business and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most of our business is conducted in the PRC, and most of our books and records are maintained in RMB, which is the currency of the PRC, and the financial statements that we file with the SEC and provide to our shareholders are presented in U.S. dollars. Changes in the exchange rates between RMB and U.S. dollar affect the value of our assets and the results of our operations, when presented in U.S. dollars. The value of RMB against the U.S. dollar and other currencies may fluctuate and is affected by, among other things, changes in the PRC’s political and economic conditions and perceived changes in the economy of the PRC and the U.S. Any significant revaluation of RMB may materially and adversely affect our cash flows, revenue, and financial condition. Further, as our securities in the U.S. are offered in U.S. dollars, we will need to convert part of the net proceeds we receive into RMB in order to use the funds for our business in the PRC. Changes in the conversion rate between the U.S. dollar and RMB will affect the amount of proceeds we will have available for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limited hedging options are available in China to reduce our exposure to exchange rate fluctuations. As of the date of this annual report, we have not entered into any hedging transactions in an effort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RMB into foreign currency. As a result, fluctuations in exchange rates may have a material adverse effect on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 the EIT Law, we may be classified as a PRC “resident enterprise” for PRC enterprise income tax purposes. Such classification would likely result in unfavorable tax consequences to us and our non-PRC shareholders and have a material adverse effect on our results of operations and the value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EIT Law that became effective in January 2008, an enterprise established outside the PRC with “de facto management bodies” within the PRC is considered a “resident enterprise” for PRC enterprise income tax purposes and is generally subject to a uniform 25% enterprise income tax rate on its worldwide income. Under the implementation rules to the EIT Law, a “de facto management body” is defined as a body that has material and overall management and control over the manufacturing and business operations, personnel and human resources, finances, and properties of an enterprise. In addition, a circular, known as “SAT Circular 82,” issued in April 2009 by the State Administration of Taxation (“SAT”) and partially amended by People’s Bank of China Circular 9 promulgated in January 2014, specifies that certain offshore incorporated enterprises controlled by PRC enterprises or PRC enterprise groups will be classified as PRC resident enterprises if the following are located or resident in the PRC: senior management personnel and departments that are responsible for daily production, operation and management; financial and personnel decision making bodies; key properties, accounting books, company seal, and minutes of board meetings and shareholders’ meetings; and half or more of the senior management or directors having voting rights. Further to SAT Circular 82, SAT issued a bulletin, known as “SAT Bulletin 45,” which took effect in September 2011 and amended on June 1, 2015 and October 1, 2016 to provide more guidance on the implementation of SAT Circular 82 and clarify the reporting and filing obligations of Chinese controlled offshore incorporated resident enterprises, to provide more guidance on the implementation of SAT Circular 82 and clarify the reporting and filing obligations of such “Chinese-controlled offshore incorporated resident enterprises.” SAT Bulletin 45 provides procedures and administrative details for the determination of resident status and administration on post-determination matters. Although both SAT Circular 82 and SAT Bulletin 45 only apply to offshore enterprises controlled by PRC enterprises or PRC enterprise groups, not those controlled by PRC individuals or foreign individuals, the determining criteria set forth in SAT Circular 82 and SAT Bulletin 45 may reflect SAT’s general position on how the “de facto management body” test should be applied in determining the tax resident status of offshore enterprises, regardless of whether they are controlled by PRC enterprises, PRC enterprise groups, or by PRC or foreign individuals.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PRC tax authorities determine that the actual management organ of Chanson International is within the territory of China, Chanson International may be deemed to be a PRC resident enterprise for PRC enterprise income tax purposes and a number of unfavorable PRC tax consequences could follow. First, we will be subject to the uniform 25% enterprise income tax on our world-wide income, which could materially reduce our net income. In addition, we will also be subject to PRC enterprise income tax reporting obligations. Finally, dividends payable by us to our investors and gains on the sale of our shares may become subject to PRC withholding tax, at a rate of 10% in the case of non-PRC enterprises or 20% in the case of non-PRC individuals (in each case, subject to the provisions of any applicable tax treaty), if such gains are deemed to be from PRC sources. It is unclear whether non-PRC shareholders of our Company would be able to claim the benefits of any tax treaties between their country of tax residence and the PRC in the event that we are treated as a PRC resident enterprise. Any such tax may reduce the returns on your investment in our shares. Although up to the date of this annual report, Chanson International has not been notified or informed by the PRC tax authorities that it has been deemed to be a resident enterprise for the purpose of the EIT Law, we cannot assure you that it will not be deemed to be a resident enterprise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uncertainty with respect to indirect transfers of equity interests in PRC resident enterprises by their non-PRC holding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February 2015, SAT issued a </w:t>
      </w:r>
      <w:r>
        <w:rPr>
          <w:rFonts w:ascii="Times New Roman;Times;Serif" w:hAnsi="Times New Roman;Times;Serif"/>
          <w:b w:val="false"/>
          <w:i/>
          <w:caps w:val="false"/>
          <w:smallCaps w:val="false"/>
          <w:sz w:val="20"/>
        </w:rPr>
        <w:t>Public Notice Regarding Certain Corporate Income Tax Matters on Indirect Transfer of Properties by Non-Tax Resident Enterprises</w:t>
      </w:r>
      <w:r>
        <w:rPr>
          <w:rFonts w:ascii="Times New Roman;Times;Serif" w:hAnsi="Times New Roman;Times;Serif"/>
          <w:b w:val="false"/>
          <w:i w:val="false"/>
          <w:caps w:val="false"/>
          <w:smallCaps w:val="false"/>
          <w:sz w:val="20"/>
        </w:rPr>
        <w:t xml:space="preserve"> (“SAT Circular 7”). SAT Circular 7 provides comprehensive guidelines relating to indirect transfers of PRC taxable assets (including equity interests and real properties of a PRC resident enterprise) by a non-resident enterprise. In addition, in October 2017, SAT issued an </w:t>
      </w:r>
      <w:r>
        <w:rPr>
          <w:rFonts w:ascii="Times New Roman;Times;Serif" w:hAnsi="Times New Roman;Times;Serif"/>
          <w:b w:val="false"/>
          <w:i/>
          <w:caps w:val="false"/>
          <w:smallCaps w:val="false"/>
          <w:sz w:val="20"/>
        </w:rPr>
        <w:t>Announcement on Issues Relating to Withholding at Source of Income Tax of Non-resident Enterprises</w:t>
      </w:r>
      <w:r>
        <w:rPr>
          <w:rFonts w:ascii="Times New Roman;Times;Serif" w:hAnsi="Times New Roman;Times;Serif"/>
          <w:b w:val="false"/>
          <w:i w:val="false"/>
          <w:caps w:val="false"/>
          <w:smallCaps w:val="false"/>
          <w:sz w:val="20"/>
        </w:rPr>
        <w:t xml:space="preserve"> (“SAT Circular 37”), effective in December 2017, which, among others, amended certain provisions in SAT Circular 7 and further clarify the tax payable declaration obligation by non-resident enterprise. Indirect transfer of equity interest and/or real properties in a PRC resident enterprise by their non-PRC holding companies are subject to SAT Circular 7 and SAT Circular 37.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 Circular 7 provides clear criteria for an assessment of reasonable commercial purposes and has introduced safe harbors for internal group restructurings and the purchase and sale of equity through a public securities market. As stipulated in SAT Circular 7, indirect transfers of PRC taxable assets are considered as reasonable commercial purposes if the shareholding structure of both transaction parties falls within the following situations: i) the transferor directly or indirectly owns 80% or above equity interest of the transferee, or vice versa; ii) the transferor and the transferee are both 80% or above directly or indirectly owned by the same party; iii) the percentages in bullet points i) and ii) shall be 100% if over 50% the share value of a foreign enterprise is directly or indirectly derived from PRC real properties. Furthermore, SAT Circular 7 also brings challenges to both foreign transferor and transferee (or other person who is obligated to pay for the transfer) of taxable assets. Where a non-resident enterprise transfers PRC taxable assets indirectly by disposing of the equity interests of an overseas holding company, which is an indirect transfer, the non-resident enterprise as either transferor or transferee, or the PRC entity that directly owns the taxable assets, may report such indirect transfer to the relevant tax authority and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SAT Circular 37, where the non-resident enterprise fails to declare the tax payable pursuant to Article 39 of the EIT Law, the tax authority may order it to pay the tax due within required time limits, and the non-resident enterprise shall declare and pay the tax payable within such time limits specified by the tax authority. If the non-resident enterprise, however, voluntarily declares and pays the tax payable before the tax authority orders it to do so within required time limits, it shall be deemed that such enterprise has paid the tax in time.</w:t>
      </w:r>
    </w:p>
    <w:p>
      <w:pPr>
        <w:pStyle w:val="TextBody"/>
        <w:bidi w:val="0"/>
        <w:spacing w:before="0" w:after="0"/>
        <w:ind w:left="0" w:right="0" w:firstLine="48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uncertainties as to the reporting and assessment of reasonable commercial purposes and future transactions where PRC taxable assets are involved, such as offshore restructuring, sale of the shares in our offshore subsidiaries, and investments. In the event of being assessed as having no reasonable commercial purposes in an indirect transfer transaction, we may be subject to filing obligations or taxed if we are a transferor in such transactions, and may be subject to withholding obligations (to be specific, a 10% withholding tax for the transfer of equity interests) if we are a transferee in such transactions, under SAT Circular 7 and SAT Circular 37. For transfer of shares by investors who are non-PRC resident enterprises, our PRC subsidiary may be requested to assist in the filing under the SAT circulars. As a result, we may be required to expend valuable resources to comply with the SAT circulars or to request the relevant transferors from whom we purchase taxable assets to comply with these circulars, or to establish that we should not be taxed under these circulars, which may have a material adverse effect on our financial condition and results of operations.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PRC subsidiary is subject to restrictions on paying dividends or making other payments to us, which may have a material adverse effect on our ability to conduct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holding company incorporated in the Cayman Islands. We may need dividends and other distributions on equity from our PRC subsidiary, Xinjiang United Family, to satisfy our liquidity requirements. Current PRC regulations permit our PRC subsidiary to pay dividends to us only out of its accumulated profits, if any, determined in accordance with PRC accounting standards and regulations. In addition, our PRC subsidiary is required to set aside at least 10% of its respective accumulated profits each year, if any, to fund certain reserve funds until the total amount set aside reaches 50% of its respective registered capital. Our PRC subsidiary may also allocate a portion of its respective after-tax profits based on PRC accounting standards to employee welfare and bonus funds at their discretion. These reserves are not distributable as cash dividends. These limitations on the ability of our PRC subsidiary to pay dividends or make other distributions to us could materially and adversely limit our ability to grow, make investments, or acquisitions that could be beneficial to our business, pay dividends, or otherwise fund and conduct our business.</w:t>
      </w:r>
    </w:p>
    <w:p>
      <w:pPr>
        <w:pStyle w:val="TextBody"/>
        <w:bidi w:val="0"/>
        <w:spacing w:before="0" w:after="0"/>
        <w:ind w:left="0" w:right="0" w:firstLine="48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Governmental control of currency conversion may affect the value of your investment and our payment of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government imposes controls on the convertibility of RMB into foreign currencies and, in certain cases, the remittance of currency out of China. As of the date of this annual report, we receive substantially all of our revenue in RMB. Under our current corporate structure, Chanson International may rely on dividend payments from our PRC subsidiary to fund any cash and financing requirements we may have. Under existing PRC foreign exchange regulations, payments of current account items, such as profit distributions and trade and service-related foreign exchange transactions, can be made in foreign currencies without prior approval from SAFE by complying with certain procedural requirements. Therefore, our PRC subsidiary is able to pay dividends in foreign currencies to us without prior approval from SAFE, subject to the condition that the remittance of such dividends outside of the PRC complies with certain procedures under PRC foreign exchange regulation, such as the overseas investment registrations by our shareholders or the ultimate shareholders of our corporate shareholders who are PRC residents. Approval from or registration with appropriate government authorities is, however, required where RMB is to be converted into foreign currency and remitted out of China to pay capital expenses such as the repayment of loans denominated in foreign currencies. The PRC government may also at its discretion restrict access in the future to foreign currencies for current account transactions. If the foreign exchange control system prevents us from obtaining sufficient foreign currencies to satisfy our foreign currency demand, we may not be able to pay dividends in foreign currencies to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are significant uncertainties under the EIT Law relating to the withholding tax liabilities of our PRC subsidiary, and dividends payable by our PRC subsidiary to our offshore subsidiaries may not qualify to enjoy certain treaty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EIT Law and its implementation rules, the profits of a foreign invested enterprise generated through operations, which are distributed to its immediate holding company outside the PRC, will be subject to a withholding tax rate of 10%. Pursuant to the Double Tax Avoidance Arrangement, a withholding tax rate of 10% may be lowered to 5% if the PRC enterprise is at least 25% held by a Hong Kong enterprise for at least 12 consecutive months prior to distribution of the dividends and is determined by the relevant PRC tax authority to have satisfied other conditions and requirements under the Double Tax Avoidance Arrangement and other applicable PRC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However, based on the </w:t>
      </w:r>
      <w:r>
        <w:rPr>
          <w:rFonts w:ascii="Times New Roman;Times;Serif" w:hAnsi="Times New Roman;Times;Serif"/>
          <w:b w:val="false"/>
          <w:i/>
          <w:caps w:val="false"/>
          <w:smallCaps w:val="false"/>
          <w:sz w:val="20"/>
        </w:rPr>
        <w:t>Circular on Certain Issues with Respect to the Enforcement of Dividend Provisions in Tax Treaties</w:t>
      </w:r>
      <w:r>
        <w:rPr>
          <w:rFonts w:ascii="Times New Roman;Times;Serif" w:hAnsi="Times New Roman;Times;Serif"/>
          <w:b w:val="false"/>
          <w:i w:val="false"/>
          <w:caps w:val="false"/>
          <w:smallCaps w:val="false"/>
          <w:sz w:val="20"/>
        </w:rPr>
        <w:t xml:space="preserve"> (the “SAT Circular 81”), which became effective on February 20, 2009, if the relevant PRC tax authorities determine, in their discretion, that a company benefits from such reduced income tax rate due to a structure or arrangement that is primarily tax-driven, such PRC tax authorities may adjust the preferential tax treatment. According to </w:t>
      </w:r>
      <w:r>
        <w:rPr>
          <w:rFonts w:ascii="Times New Roman;Times;Serif" w:hAnsi="Times New Roman;Times;Serif"/>
          <w:b w:val="false"/>
          <w:i/>
          <w:caps w:val="false"/>
          <w:smallCaps w:val="false"/>
          <w:sz w:val="20"/>
        </w:rPr>
        <w:t>Circular on Several Issues regarding the “Beneficial Owner” in Tax Treaties</w:t>
      </w:r>
      <w:r>
        <w:rPr>
          <w:rFonts w:ascii="Times New Roman;Times;Serif" w:hAnsi="Times New Roman;Times;Serif"/>
          <w:b w:val="false"/>
          <w:i w:val="false"/>
          <w:caps w:val="false"/>
          <w:smallCaps w:val="false"/>
          <w:sz w:val="20"/>
        </w:rPr>
        <w:t>, which became effective as of April 1, 2018, when determining an applicant’s status as the “beneficial owner” regarding tax treatments in connection with dividends, interests, or royalties in the tax treaties, several factors will be taken into account. Such factors include whether the business operated by the applicant constitutes actual business activities, and whether the counterparty country or region to the tax treaties does not levy any tax, grant tax exemption on relevant incomes, or levy tax at an extremely low rate. This circular further requires any applicant who intends to be proved of being the “beneficial owner” to file relevant documents with the relevant tax authorities. Our PRC subsidiary is wholly owned by our Hong Kong subsidiary. However, we cannot assure you that our determination regarding our qualification to enjoy the preferential tax treatment will not be challenged by the relevant PRC tax authority or we will be able to complete the necessary filings with the relevant PRC tax authority and enjoy the preferential withholding tax rate of 5% under the Double Tax Avoidance Arrangement with respect to dividends to be paid by our PRC subsidiary to our Hong Kong subsidiary, in which case, we would be subject to the higher withdrawing tax rate of 10% on dividends received.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become directly subject to the scrutiny, criticism, and negative publicity involving U.S.-listed Chinese companies, we may have to expend significant resources to investigate and resolve the matter which could harm our business operations, stock price, 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public companies that have substantially all of their operations in China have been the subject of intense scrutiny, criticism, and negative publicity by investors, financial commentators, and regulatory agencies, such as the SEC. Much of the scrutiny, criticism, and negative publicity has centered on financial and accounting irregularities and mistakes, a lack of effective internal controls over financial reporting, inadequate corporate governance policies or a lack of adherence thereto and, in many cases, allegations of fraud. As a result of the scrutiny, criticism, and negative publicity, the publicly traded stock of many U.S. listed Chinese companies sharply decreased in value and, in some cases, has become virtually worthless. Many of these companies are now subject to shareholder lawsuits and SEC enforcement actions and are conducting internal and external investigations into the allegations. It is not clear what effect this sector-wide scrutiny, criticism, and negative publicity will have on us, our business, and the price of our Class A Ordinary Shares. If we become the subject of any unfavorable allegations, whether such allegations are proven to be true or untrue, we will have to expend significant resources to investigate such allegations and/or defend our Company. This situation will be costly and time consuming and distract our management from developing our business. If such allegations are not proven to be groundless, we and our business operations will be severely affected and you could sustain a significant decline in the value of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M&amp;A Rules and certain other PRC regulations establish complex procedures for some acquisitions of Chinese companies by foreign investors, which could make it more difficult for us to pursue growth through acquisitions in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 Regulations on Mergers and Acquisitions of Domestic Companies by Foreign Investors</w:t>
      </w:r>
      <w:r>
        <w:rPr>
          <w:rFonts w:ascii="Times New Roman;Times;Serif" w:hAnsi="Times New Roman;Times;Serif"/>
          <w:b w:val="false"/>
          <w:i w:val="false"/>
          <w:caps w:val="false"/>
          <w:smallCaps w:val="false"/>
          <w:sz w:val="20"/>
        </w:rPr>
        <w:t xml:space="preserve"> (the “M&amp;A Rules”) and recently adopted regulations and rules concerning mergers and acquisitions established additional procedures and requirements that could make merger and acquisition activities by foreign investors more time consuming and complex. For example, the M&amp;A Rules require that the Ministry of Commerce of the PRC (“MOFCOM”) be notified in advance of any change-of-control transaction in which a foreign investor takes control of a PRC domestic enterprise, if (i) any important industry is concerned, (ii) such transaction involves factors that have or may have impact on the national economic security, or (iii) such transaction will lead to a change in control of a domestic enterprise which holds a famous trademark or PRC time-honored brand. Mergers or acquisitions that allow one market player to take control of or to exert decisive impact on another market player must also be notified in advance to MOFCOM when the threshold under the Provisions on Thresholds for Prior Notification of Concentrations of Undertakings, or the “Prior Notification Rules,” issued by the State Council in August 2008 is triggered. In addition, the security review rules issued by MOFCOM that became effective in September 2011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MOFCOM, and the rules prohibit any activities attempting to bypass a security review, including by structuring the transaction through a proxy or contractual control arrangement. In the future, we may grow our business by acquiring complementary businesses. Complying with the requirements of the above-mentioned regulations and other relevant rules to complete such transactions could be time consuming, and any required approval processes, including obtaining approval from MOFCOM or its local counterparts may delay or inhibit our ability to complete such transactions. It is clear that our business would not be deemed to be in an industry that raises “national defense and security” or “national security” concerns. MOFCOM or other government agencies, however, may publish explanations in the future determining that our business is in an industry subject to the security review, in which case our future acquisitions in the PRC, including those by way of entering into contractual control arrangements with target entities, may be closely scrutinized or prohibited. Our ability to expand our business or maintain or expand our market share through future acquisitions would as such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Our Business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operating entities’ business is affected by changes in consumer preferences and discretionary spending.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entities’ success depends, in part, upon the popularity of their bakery products and their ability to develop new bakery products that appeal to consumers. Shifts in consumer preferences away from their bakery stores or their product offerings and mix, their inability to develop new products that appeal to consumers could harm the operating entities’ business. The operating entities’ success depends in large part on their customers’ continued belief that food made with high-quality ingredients, including selected proteins raised without antibiotics, their cakes, pastries, and other bakery treats made without artificial preservatives, flavors, sweeteners, or colors from artificial sources are worth the prices charged at the operating entities’ bakery stores relative to the lower prices offered by some of their competitors. The operating entities’ inability to successfully educate customers about the quality of their bakery products or their customers’ rejection of the operating entities’ pricing approach could result in decreased demand for their products or require the operating entities to change their pricing, marketing, or promotional strategies, which could materially and adversely affect our consolidated financial results or the brand identity that the operating entities have created. In addition, the operating entities’ success depends to a significant extent on discretionary consumer spending, which is influenced by general economic conditions and the availability of discretionary income. Accordingly, the operating entities may experience declines in sales during economic downturns or during periods of uncertainty. Any material decline in the amount of discretionary spending could have a material adverse effect on the operating entities’ sales, results of operations, business,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operating entities’ long-term success depends on their ability to successfully identify and secure appropriate sites and timely develop and expand their operations in existing and new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the key means of achieving the operating entities’ growth strategies will be through opening and operating new stores on a profitable basis for the foreseeable future. The operating entities identify target markets, taking into account numerous factors such as the locations of their current stores, demographics, traffic patterns and known consumer patterns. The operating entities may not be able to open their planned new stores within budget or on a timely basis, if at all, given the uncertainty of these factors, which could adversely affect their business, financial condition, and results of operations. As the operating entities operate more stores, their rate of expansion relative to the size of our store base will eventually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and timing of new stores opened during any given period may be negatively impacted by a number of factors,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operating entities’ ability to increase brand awareness and bakery product consumption in areas where they open stores;</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identification and availability of sites for store locations with the appropriate size, traffic patterns, local retail and business attractions, and infrastructure that will drive high levels of customer traffic and sales per unit;</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competition in existing and new markets, including competition for store sites;</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negotiation of acceptable lease terms;</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operating entities’ ability to obtain all required governmental permits on a timely basis;</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operating entities’ ability to control construction and development costs of new stores;</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maintenance of adequate distribution capacity, information systems, and other operational system capabilities;</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integrating new stores into the operating entities’ existing procurement, manufacturing, distribution, and other support operations;</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hiring, training, and retention of store management and other qualified personnel;</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assimilating new store employees into the operating entities’ corporate culture;</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effective management of inventory to meet the needs of the operating entities’ stores on a timely basis; and</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availability of sufficient levels of cash flow and financing to support the operating entities’ expansion.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Unavailability of attractive store locations, delays in the acquisition or opening of new stores, delays or costs resulting from a decrease in commercial development due to capital constraints, difficulties in staffing and operating new store locations, or lack of customer acceptance of stores in new market areas may negatively impact the operating entities’ new store growth and the costs or the profitability associated with new stores.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customer trends, preferences, and demand may vary significantly by region, and the operating entities’ experience in the markets in which they currently operate may not be applicable in other parts of the PRC and the U.S. As a result, the operating entities may not be able to leverage their experience to expand into other parts of the PRC and the U.S. When the operating entities enter new markets, they may face intense competition from companies with greater experience or an established presence in the targeted geographical areas or from other companies with similar expansion targets. In addition, the operating entities’ business model may not be successful in new and untested markets and markets with a different business environment. The operating entities may not be able to grow their revenue in the new cities they enter into, but they will incur substantial costs in connection with any such expansion. Consequently, we cannot assure you that the operating entities will achieve their planned growth or, even if the operating entities are able to grow their store base as planned, that any new stores will be profitable, which could have a material adverse effect on their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operating entities operate in a highly-competitive market and their failure to compete effectively could adversely affect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for bakery products is highly competitive. The current competitors of the PRC Stores and the U.S. Stores include international and domestic companies that produce and sell bakery products in Xinjiang and New York City, respectively, and their potential competitors include companies that produce and sell bakery products in other cities in the U.S. The PRC Stores and the U.S. Stores compete for customers primarily on the basis of the price and quality of their products, food safety, brand awareness and loyalty, responsiveness to customer demand and market trends, customer experience, the ability to accurately estimate sales quota and control inventory, production capacity, and operation and management of chain stores. They may not successfully compete with their existing competitors and new competitors may enter the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cannot predict the pricing or promotion actions of competitors of the PRC Stores and the U.S. Stores or their effect on customer perceptions or the success of advertising and promotional efforts by the PRC Stores and the U.S. Stores. Competitors of the PRC Stores or the U.S. Stores may develop and launch products targeted to compete directly with their products and some of their competitors may have substantially greater financial, marketing, and other resources than they do. This creates competitive pressure that could cause the PRC Stores or the U.S. Stores to lose market share or require them to lower prices, increase advertising expenditures, or increase the use of discounting or promotional campaigns. These competitive factors may also restrict the ability of the PRC Stores and the U.S. Stores to increase prices, including in response to commodity and other cost increases. If the PRC Stores and the U.S. Stores are unable to continue to respond effectively to these and other competitive pressure, their customers may purchase fewer of their products or may insist on prices that erode their margins. These or other developments could materially and adversely affect sales volumes and margins of the PRC Stores and the U.S. Stores and result in a decrease in their operating results, which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of the operating entities’ products are subject to changing customer preferences. If the operating entities do not correctly anticipate such changes, their sales and profitability may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a number of trends in customer preferences which have an impact on the operating entities and the bakery industry as a whole. These include, among others, preferences for ready-to-eat, natural, and healthy products. Concerns as to the health impacts and nutritional value of certain bakery products may increasingly result in bakery product manufacturers being encouraged or required to produce products with reduced levels of salt, sugar, and fat and to eliminate trans-fatty acids and certain other ingredients. Customer preferences are also shaped by concern over the environmental impact of products. The success of the operating entities’ business depends on both the continued appeal of their products and, given the varied backgrounds and tastes of their customer base, their ability to offer a sufficient range of products to satisfy a broad spectrum of preferences. Any shift in customer preferences in the markets in which the operating entities operate could have a material adverse effect on their business. Customer tastes are also susceptible to change. The operating entities’ competitiveness therefore depends on their ability to predict and quickly adapt to customer trends, exploiting profitable opportunities for product development without alienating their existing customer base or focusing excessive resources or attention on unprofitable or short-lived trends. If the operating entities are unable to respond on a timely and appropriate basis to changes in demand or customer preferences, their sales volumes and margins could be adversely affected.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The operating entities’ future results and competitive position depend on the successful development of new products and improvement of existing products, which are subject to a number of difficulties and uncertainties.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entities’ future results and ability to maintain or improve their competitive position depend on their capacity to anticipate changes in their key markets and to identify, develop, manufacture, market, and sell new or improved products in these changing markets successfully. The PRC Stores and the U.S. Stores aim to introduce new products and re-launch and extend existing product lines on a timely basis in order to counteract obsolescence and decreases in sales of existing products as well as to increase overall sales of their products. The launch and success of new or modified products are inherently uncertain, especially as to the products’ appeal to customers, and there can be no assurance as to the continuing ability of the PRC Stores and the U.S. Stores to develop and launch successful new products or variations of existing products. The failure to launch a product successfully can give rise to inventory write-offs and other costs and can affect customer perception of their other products. Market factors and the need to develop and provide modified or alternative products may also increase costs. In addition, launching new or modified products can result in cannibalization of sales of the existing products of the PRC Stores and the U.S. Stores if customers purchase the new product in place of their existing products. If the PRC Stores and the U.S. Stores are unsuccessful in developing new products in response to changing customer demand or preferences in an efficient and economical manner, or if their competitors respond more effectively than they do, demand for their products may decrease, which could materially and adversely affect their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operating entities’ inability to source raw materials or other inputs of an acceptable type or quality could adversely affect their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Stores and the U.S. Stores use significant quantities of food ingredients and packaging materials and are therefore vulnerable to fluctuations in the availability and prices of food ingredients, packaging materials, energy, and other supplies. In particular, raw materials such as milk, butter, eggs, flour, and sugar have historically represented a significant portion of their cost of revenue, and accordingly, adverse changes in raw material prices will impact their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Specifically, the availability and the prices of milk, eggs, and other agricultural commodities can be volatile. The PRC Stores and the U.S. Stores are also affected by the availability of quality raw materials. General economic conditions, unanticipated demand, problems in manufacturing or distribution, natural disasters, weather conditions during the growing and harvesting seasons, plant and livestock diseases, and local, national, or international quarantines can also adversely affect availability and prices of commodities in the long and short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PRC Stores and the U.S. Stores attempt to negotiate fixed prices for certain materials with their suppliers for periods up to a full year, they cannot guarantee that they will be successful in managing input costs if prices increase for extended periods of time. Moreover, there is no market for hedging against price volatility for certain raw materials and accordingly such materials are bought at the spot rate in the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the PRC Stores and the U.S. Stores to avoid the adverse effects of a pronounced and sustained price increase in raw materials is limited. Any increases in prices or scarcity of ingredients or packaging materials required for their products could increase their costs and disrupt their operations. If the availability of any of their inputs is constrained for any reason, they may not be able to obtain sufficient supplies or supplies of a suitable quality on favorable terms or at all. Such shortages could materially and adversely affect our market share,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inability of the PRC Stores and the U.S. Stores to pass on price increases for materials or other inputs to their customers could adversely affect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the PRC Stores and the U.S. Stores to pass through increases in the prices of raw materials to their customers depends, among others, on prevailing competitive conditions and pricing methods in the markets in which they operate, and they may not be able to pass through such price increases to their customers. Even if they are able to pass through increases in prices, there is typically a time lag between cost increases impacting their business and implementation of product price increases, during which time their gross margin may be negatively impacted. During the adjustments of the PRC Stores and the U.S. Stores to increase their prices to recover cost increases, customers may take actions which exacerbate the impact of such cost increases, for example, by ceasing to purchase their products or deferring orders until adjustments have ended. The inability of the PRC Stores and the U.S. Stores to pass through price increases in raw materials and preserve their profit margins in the future could materially and adversely affect their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operating entities rely on their central factory and a limited number of third-party producers and suppliers. Any interruption in operations at the central factory or in such third-party producers or suppliers could prevent or limit their ability to meet demand for or fulfill orders of the operating entities’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the PRC Stores operate a central factory located in Urumqi, which produces all of the packaged bakery products, and the semi-finished products for birthday cakes and made-in-store pastries for the PRC Stores. Any significant disruption at the central factory for any reason, including regulatory requirements, the loss of certifications or approvals, technical difficulties, labor disputes, power interruptions or other infrastructure failures, fires, earthquakes, or other force of nature, or terrorist attacks, could disrupt the supply of the products of the PRC Stores and significantly harm their results of operations and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Premises Use Agreement for the PRC Stores’ central factory expires in 2031, and the PRC Stores may be unable to renew this agreement or find a new facility on commercially reasonable terms. If the PRC Stores were unable or unwilling to renew at the proposed rates, relocating their manufacturing facility would involve significant expenses in connection with the movement and installation of key manufacturing equipment and any necessary recertification with regulatory bodies, and we cannot assure you that such a move would not delay or otherwise adversely affect the PRC Stores’ manufacturing activities or operating results. If the PRC Stores’ manufacturing capabilities were impaired by their move, the PRC Stores may not be able to manufacture and ship their products in a timely manner, which would adversely impact their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Stores also depend upon a limited number of third-party producers to produce all of the seasonal products. See note 2 of our consolidated financial statements included elsewhere in this annual report. These third-party producers and suppliers are run by independent entities that are subject to their own unique operational and financial risks, which are out of the control of the PRC Stores or the U.S. Stores. If any of these producers or suppliers breach or terminate their contracts with the PRC Stores or the U.S. Stores or experience significant disruptions of their operations, the PRC Stores or the U.S. Stores will be required to find and enter into arrangements with one or more replacement producers or suppliers. Finding alternative producers could involve significant delays and other costs and these producers may not be available to the PRC Stores or the U.S. Stores on reasonable terms or at all. Any disruption of producing or packaging could delay delivery of their products, which could harm their business and financial results and result in lost or deferred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operating entities’ geographic focus makes them particularly vulnerable to economic and other events and trends in Xinjiang and New York City.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the operations of our PRC subsidiary and the VIEs are geographically limited to two cities in Xinjiang, and 3 of the 63 PRC Stores are located in Urumqi, the capital city of Xinjiang. The PRC Stores derived 98.7%, 98.2% and 96.6% of their revenue from stores in Urumqi in the years ended December 31, 2025, 2024, and 2023, respectively. In addition, the U.S. Stores’ current operations are limited to New York City. The operating entities’ future growth will depend on the growth and stability of the economy of Xinjiang, especially in Urumqi, and New York City. An economic downturn of Xinjiang or New York City or the implementation of provincial or local policies unfavorable to bakery industry may cause a decrease in the demand for the operating entities’ products and could have a negative impact on their profitability and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complex ethnic composition of Xinjiang has given rise to ethnic and other tensions both in Urumqi and elsewhere in Xinjiang. Events such as terrorist and ethnic extremist attacks as well as riots and the resulting political instability, economy suspension, and concerns over safety in Xinjiang could have a significant adverse impact on the PRC Stores’ business, financial condition, and results of operation.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PRC Stores and the U.S. Stores are currently operating in a period of economic uncertainty and capital markets disruption, which has been significantly impacted by geopolitical instability due to the ongoing military conflict between Russia and Ukraine and the armed conflict between Israel and Hamas. Their business, financial condition, and results of operations may be materially and adversely affected by any negative impact on the global economy and capital markets resulting from these conflicts or any other geopolitical tensions.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and global markets are experiencing volatility and disruption following the escalation of geopolitical tensions and the start of the military conflicts. On February 24, 2022, a full-scale military invasion of Ukraine by Russian troops was reported, which has since caused significant volatility in commodity prices, credit and capital markets, as well as supply chain interruptions. On October 7, 2023, Hamas launched a series of coordinated attacks from the Gaza Strip onto Israel. On October 8, 2023, Israel formally declared war on Hamas, and the armed conflict is ongoing as of the date of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Stores and the U.S. Stores do not have any operations outside of mainland China and the U.S. nor any business relationships, connections to, or assets in, Russia, Belarus, Ukraine, Israel, or Hamas. Although the ongoing military conflict between Russia and Ukraine and the armed conflict between Israel and Hamas have not had a material impact on the PRC Stores, the business, financial condition, and results of operations of the U.S. Stores have been, and could continue to be, indirectly and adversely affected. Such impact arises from: (i) volatility in the global supply of wheat, corn, barley, sunflower oil, and other agricultural commodities; (ii) higher food prices due to supply constraints and the general inflationary impact of the war; (iii) increases in energy prices globally, in particular for electricity and fossil fuels, such as crude oil and natural gas, and related transportation, freight, and warehousing costs; and (iv) disruptions to logistics and supply chains. If the price of the products and services of the U.S. Stores increases at a rate that is either unaffordable to their customers or insufficient to compensate for the rise in their costs and expenses, their business, financial condition, results of operations, and prospects could be materially and adversely affected. In addition, Russian military actions and the resulting sanctions could adversely affect the global economy and financial markets and lead to increased instability and lack of liquidity in capital markets, potentially making it more difficult for us to obtain additional funds. The intensity and duration of Israel’s current war against Hamas is difficult to predict, as are such war’s global economic impact, which could include further sanctions, embargoes, regional instability, energy shortages, geopolitical shifts, and adverse effects on macroeconomic conditions, security conditions, currency exchange rates, and financial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and duration of the military action, sanctions, and resulting market and supply chain disruptions are highly unpredictable but could be substantial. Any such disruptions may also magnify the impact of other risks described in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maintain or enhance the operating entities’ brands or image could have a material adverse effect on their business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operating entities’ “George●Chanson,” “Patisserie Chanson</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and “Chanson” brands are well-recognized among their customers and other food industry players such as other bakery product manufacturers and bakery chain stores in the local markets the operating entities operate in. The operating entities’ brands are integral to their sales and marketing efforts. The operating entities’ continued success in maintaining and enhancing their brands and image depends to a large extent on their ability to satisfy customer needs by further developing and maintaining the quality of their products, as well as their ability to respond to competitive pressures. If the operating entities are unable to satisfy customer needs or if their public image or reputation were otherwise diminished, their business transactions with their customers may decline, which could in turn adversely affect their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Health concerns or adverse developments with respect to the safety or quality of products of the food industry in general or the operating entities’ products specifically may damage their reputation, increase their costs of operations, and decrease demand for their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Food safety and the public’s perception that the operating entities’ products are safe and healthy are essential to their image and business. The PRC Stores and the U.S. Stores sell food products for human consumption, which subjects them to safety risks such as product contamination, spoilage, misbranding, or product tampering. Product contamination, including the presence of a foreign object, substance, chemical, or other agent or residue or the introduction of a genetically modified organism, could require product withdrawals or recalls or the destruction of inventory, and could result in negative publicity, temporary plant closures, and substantial costs of compliance or remediation. The PRC Stores and the U.S. Stores may also be impacted by publicity concerning any assertion that their products caused illness or injury. In addition, they could be subject to claims or lawsuits relating to an actual or alleged illness stemming from product contamination or any other incidents that compromise the safety and quality of their products. Any significant lawsuit or widespread product recall or other events leading to the loss of customer confidence in the safety and quality of the operating entities’ products could damage their brand, reputation, and image and negatively impact their sales, profitability, and prospects for growth. In addition, product recalls are difficult to foresee and prepare for and, in the event that the PRC Stores and the U.S. Stores are required to recall one or more of their products, such recall may result in loss of sales due to unavailability of their products and may take up a significant amount of their management’s time and attention. As of the date of this annual report, the PRC Stores and the U.S. Stores maintain systems designed to monitor food safety risks and carefully select their third-party producers and suppliers. These efforts, however, might not be successful and such risks might materialize. In addition, although the PRC Stores and the U.S. Stores attempt, through contractual relationships and regular inspections, to control the risk of contamination caused by third parties in relation to the manufacturing processes they outsource, their efforts might not be successful and contamination of their products by third parties might materialize.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Stores and the U.S. Stores are also subject to further risks affecting the food industry generally, including risks posed by widespread contamination and evolving nutritional and health-related concerns. Regulatory authorities may limit the supply of certain types of food products in response to public health concerns and customers may perceive certain products to be unsafe or unhealthy. As a result, the PRC Stores and the U.S. Stores or their suppliers will be required to find alternative supplies or ingredients that may or may not be available at commercially reasonable prices and within the required time. In addition, governmental regulations may require them to identify replacement products to offer to their customers or, alternatively, to discontinue certain offerings or limit the range of products they offer. The PRC Stores and the U.S. Stores may be unable to find substitutes that are as appealing to their customer base, or such substitutes may not be widely available or may be available only at increased costs. Such substitutions or limitations could also reduce demand for their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Stores and the U.S. Stores could also be subject to claims or lawsuits relating to an actual or alleged illness or injury or death stemming from the consumption of a misbranded, altered, contaminated, or spoiled product, which could negatively affect their business. Awards of damages, settlement amounts, and fees and expenses resulting from such claims and the public relations implications of any such claims could have an adverse effect on their business. As of the date of this annual report, the PRC Stores do not have insurance to cover claims for damages, and the U.S. Stores, Chanson 23rd Street and Chanson 3rd Ave, have general liability insurance subject to the terms of their respective insurance policies. If the PRC Stores and the U.S. Stores choose to purchase or renew such insurance, the availability and price of insurance to cover claims for damages are subject to market forces that they do not control, and such insurance may not cover all the costs of such claims and would not cover damage to their reputation. Even if product liability claims against them are not successful or fully pursued, these claims could be costly and time consuming and divert our management’s time and resources towards defending them rather than operating our business. In addition, any adverse publicity concerning such claims, even if unfounded, could cause customers to lose confidence in the safety and quality of the operating entities’ products and damage their reputation and brand image.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operating entities could incur material costs to address violations of, or liabilities under, health, safety, and environmental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entities’ facilities and operations in the PRC are subject to numerous health, safety, and environmental regulations, including local and national laws governing, among other things, water supply and use, water discharges, air emissions, chemical safety, clean-up of contamination, energy use, noise pollution, and workplace health and safety. Health, safety, and environmental legislation in the PRC have generally become more comprehensive and restrictive and more rigid over time and enforcement has become more stringent. Failure to comply with applicable requirements, or the terms of required permits, can result in penalties or fines, clean-up costs, third-party property damage, and personal injury claims, which could have a material adverse effect on the operating entities’ brand, business, financial condition, and results of operations. In addition, if health, safety, and environmental laws and regulations in the PRC and the other countries in which the operating entities operate or from which they source raw materials and ingredients become more stringent in the future, the extent and timing of investments required to maintain compliance may exceed their budgets or estimates and may limit the availability of funding for other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under some environmental laws, the operating entities could be liable for costs incurred in investigating or remediating contamination at properties they own or occupy, even if the contamination was caused by a party unrelated to them or was not caused by them, and even if the activity which caused the contamination was legal at the time it occurred. The discovery of previously unknown contamination, or the imposition of new or more burdensome obligations to investigate or remediate contamination at the operating entities’ properties or at third-party sites, could result in substantial unanticipated costs which could have a material adverse effect on their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Stores and any future stores we may open in the U.S. are subject to federal, state, and local laws and regulations concerning waste disposal, pollution, protection of the environment, and the presence, discharge, storage, handling, release, and disposal of, and exposure to, hazardous or toxic substances. These environmental laws provide for significant fines and penalties for noncompliance and liabilities for remediation, sometimes without regard to whether the owner or operator of the property knew of, or was responsible for, the release or presence of hazardous toxic substances. Third parties may also make claims against owners or operators of properties for personal injuries and property damage associated with releases of, or actual or alleged exposure to, such hazardous or toxic substances at, on or from our stores. Environmental conditions relating to releases of hazardous substances at prior, existing, or future store sites could materially adversely affect the U.S. Stores’ business, financial condition, or results of operations. Further, environmental laws, and the administration, interpretation, and enforcement thereof, are subject to change and may become more stringent in the future, each of which could materially adversely affect the U.S. Stores’ business, financial condition,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Increased distribution costs or disruption of product transportation could adversely affect the operating entities’ business and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 costs have historically fluctuated significantly over time, particularly in connection with oil prices, and increases in such costs could result in reduced profits. In addition, certain factors affecting distribution costs are controlled by third-party carriers. To the extent that the market price for fuel or freight or the number or availability of carriers fluctuates, the operating entities’ distribution costs could be affected. In addition, temporary or long-term disruption of product transportation due to weather-related problems, strikes, lockouts, or other events could impair the operating entities’ ability to supply products affordably and in a timely manner or at all. Failure to deliver the operating entities’ perishable food products promptly could also result in inventory spoilage and the inability to satisfy the demand of their customers at their stores. Any increases in the cost of transportation, and any disruption in transportation, could have a material adverse effect on the operating entities’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obtain and maintain required licenses and permits or to comply with alcoholic beverage or food control regulations could lead to the loss of the U.S. Stores’ liquor and food service licenses and, thereby, harm their business, financial condition,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food retail industry is subject to various federal, state, and local government regulations, including those relating to the sale of food and alcoholic beverages. Such regulations are subject to change from time to time. The failure to obtain and maintain licenses, permits, and approvals relating to such regulations could adversely affect the business, financial condition, or results of operations of the U.S. Stores. Typically, licenses must be renewed annually and may be revoked, suspended, or denied renewal for cause at any time if governmental authorities determine that the U.S. Stores’ conduct violates applicable regulations. Difficulties or failure to maintain or obtain the required licenses and approvals could adversely affect the U.S. Stores and delay or result in their decision to cancel the opening of new stores, which would adversely affect their business, financial condition,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Alcoholic beverage control regulations generally require the U.S. Stores to apply to a state authority and, in certain locations, county, or municipal authorities for a license that must be renewed annually and may be revoked or suspended for cause at any time. Alcoholic beverage control regulations relate to numerous aspects of daily operations of the U.S. Stores, including minimum age of patrons and employees, hours of operation, advertising, trade practices, wholesale purchasing, other relationships with alcohol manufacturers, wholesalers, and distributors, inventory control, and handling, storage, and dispensing of alcoholic beverages. Any future failure to comply with these regulations and obtain or retain liquor licenses could adversely affect the business, financial condition, or results of operations of the U.S. Stores.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disruption of our information technology system would harm the operating entities’ business and reduce their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entities rely on their information technology systems, in particular the Enterprise Resource Planning management information system (the “ERP System”) in the PRC Stores, for various services related to inventory management, production, product transportation, point of sales, and accounting and financial management. The operating entities’ performance depends on the availability of accurate and timely data and other information from key software applications to aid day-to-day business and decision-making processes. The operating entities may be adversely affected if their controls designed to manage information technology operational risks fail to contain such risks. If the operating entities do not allocate and effectively manage the resources necessary to build and sustain the proper technology infrastructure and to maintain the related automated and manual control processes, they could be subject to adverse effects including billing and collection errors, business disruptions, in particular concerning their manufacturing and logistics functions, and security breaches. Any disruption caused by failings in their information technology infrastructure equipment or communication networks, could delay or otherwise impact their day-to-day business and decision-making processes and negatively impact their performance. In addition, the operating entities are reliant on third parties to service parts of their IT infrastructure. Failure on their part to provide good and timely service may have an adverse impact on the operating entities’ information technology network. Furthermore, the operating entities do not control the facilities or operations of their suppliers. An interruption of operations at any of their facilities or any failure by them to deliver on their contractual commitments may have an adverse effect on the operating entities’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Data security breaches and attempts thereof could negatively affect the operating entities’ reputation, credibility, and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entities collect and store personal information relating to their customers and employees, including their personal identifiable information, and rely on third parties for the various social media tools and websites the operating entities use as part of their marketing strategy. Customers are increasingly concerned over the security of personal information transmitted over the Internet (or through other mechanisms), consumer identity theft, and user privacy. Any perceived, attempted, or actual unauthorized disclosure of personally identifiable information regarding the operating entities’ employees, customers, or website visitors could harm their reputation and credibility, reduce their e-commerce sales, impair their ability to attract website visitors, reduce their ability to attract and retain customers, and could result in litigation against the operating entities or the imposition of significant fines or penalties. We cannot assure you that any of the operating entities’ third-party service providers with access to such personally identifiable information will maintain policies and practices regarding data privacy and security in compliance with all applicable laws, or that they will not experience data security breaches or attempts thereof which could have a corresponding adverse effect on the operating entities’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Recently, data security breaches suffered by well-known companies and institutions have attracted a substantial amount of media attention, prompting new foreign, national, provincial or state, and local laws and legislative proposals addressing data privacy and security, as well as increased data protection obligations imposed on merchants by credit card issuers. As a result, the operating entities may become subject to more extensive requirements to protect the customer information that they process in connection with the purchase of their products, resulting in increased compliance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breach of security of confidential customer information related to the U.S. Stores’ electronic processing of credit and debit card transactions could substantially affect its reputation,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portion of the sales in the U.S. Stores are by credit or debit cards. Other retailers have experienced security breaches in which credit and debit card information has been stolen. The U.S. Stores may in the future become subject to claims for purportedly fraudulent transactions arising out of the actual or alleged theft of credit or debit card information, and the U.S. Stores may also be subject to lawsuits or other proceedings relating to these types of incidents. The U.S. Stores may ultimately be held liable for the unauthorized use of a cardholder’s card number in an illegal activity and be required by card issuers to pay charge-back fees. In addition, most states have enacted legislation requiring notification of security breaches involving personal information, including credit and debit card information. Any such claim or proceeding could cause the U.S. Stores to incur significant unplanned expenses, which could have an adverse impact on its business, financial condition, or results of operations. Further, adverse publicity resulting from these allegations may have a material adverse effect on the U.S. Stores and could substantially affect its reputation and business, financial condition,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Governmental regulation may adversely affect the operating entities’ ability to open new stores in the U.S. or otherwise adversely affect our business, financial condition,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Stores and any store or stores the operating entities may open in the U.S. are subject to state and local licensing and regulation by health, alcoholic beverage, sanitation, food and occupational safety, and other agencies. The operating entities may experience material difficulties or failures in obtaining the necessary licenses, approvals, or permits for each store, which could delay store openings in the future or affect the operations in the U.S. In addition, stringent and varied requirements of local regulators with respect to zoning, land use, and environmental factors could delay or prevent development of new stores in particular locations.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subsidiaries in the U.S. are subject to the U.S. Americans with Disabilities Act and similar state laws that give civil rights protections to individuals with disabilities in the context of employment, public accommodations and other areas, including the U.S. Stores. The operating entities may in the future have to modify their stores, for example, by adding access ramps or redesigning certain architectural fixtures, to provide service to or make reasonable accommodations for disabled persons. The expenses associated with these modifications could be 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operations of the U.S. Stores and any store or stores the operating entities may open in the U.S. are also subject to the U.S. Occupational Safety and Health Act, which governs worker health and safety, the U.S. Fair Labor Standards Act, which governs such matters as minimum wages and overtime, and a variety of similar federal, state, and local laws that govern these and other employment law matters. In addition, federal, state, and local proposals related to paid sick leave or similar matters could, if implemented, materially adversely affect the operating entities’ business, financial condition,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Disclosure of the operating entities’ recipes and other proprietary information, or a failure to adequately protect these, could result in increased competition and have a material adverse effect on their business and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compete effectively depends in part on the operating entities’ ability to obtain, maintain, and protect their proprietary information. Our operating entities rely on trade secret laws and practices, including physical security, limited dissemination and access, and confidentiality agreements with their employees, consultants, business partners, and others, to protect their recipes, proprietary processes, and other proprietary information. However, trade secrets are difficult to protect, and courts outside the jurisdictions in which the operating entities operate may be less willing to protect their trade secrets. The operating entities’ protective measures might not effectively prevent disclosure or unauthorized use of proprietary information or provide an adequate remedy in the event of misappropriation, infringement, or other violations of their proprietary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Existing laws afford only limited protection for the operating entities’ proprietary rights. Despite their efforts, the operating entities may not be able to protect some of their proprietary information, or the protection that they receive may not be sufficient. The operating entities face additional risks that their protective measures could prove to be inadequate,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steps they take to prevent circumvention, misappropriation, or infringement of our proprietary rights may not be successful;</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confidentiality agreements may be intentionally or unintentionally breached, be deemed unenforceable, or not provide adequate recourse against the disclosing party;</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intellectual property laws may not sufficiently support their proprietary rights or may change in the future in a manner adverse to them; and</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effective protection of intellectual property rights may be unavailable or limited in some countries in which they operate or plan to do business.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operating entities may seek to enforce their proprietary rights against third parties. Policing unauthorized use of proprietary information can be difficult and expensive. The operating entities may not be successful in their attempts to enforce their proprietary rights against third parties. Any such litigation may result in substantial diversion of financial and management resources and, if decided unfavorably to the operating entities, could have a material adverse effect on their business and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operating entities are subject to the risks associated with leasing a substantial amount of space and are required to make substantial lease payments under their operating leases. Any failure to make these lease payments when due would likely harm their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the operating entities do not own any real estate. Instead, our subsidiaries and the VIEs lease all of their store locations and their corporate office and central factory in Xinjiang and New York City. Many of their lease agreements have defined escalating rent provisions over the initial term and any extensions. As the operating entities’ stores mature and as the operating entities expand their store base, their lease expenses and their cash outlays for rent under their lease agreements will increase. Their substantial operating lease obligations could have significant negative consequences,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requiring that an increased portion of their cash from operations and available cash be applied to pay their lease obligations, thus reducing liquidity available for other purposes;</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increasing their vulnerability to adverse general economic and industry conditions;</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limiting their flexibility to plan for or react to changes in their business or in the industry in which they compete; and</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limiting their ability to obtain additional financing.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existing or future store is not profitable, and the operating entities decide to close it, they may nonetheless remain committed to perform their obligations under the applicable lease including, among other things, paying the base rent for the balance of the lease term. Moreover, even if a lease has an early cancellation clause, the operating entities may not satisfy the contractual requirements for early cancellation under that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entities depend on cash flow from operations to pay their lease expenses, finance their growth capital requirements, and fulfill their other cash needs. If the operating entities’ business does not generate sufficient cash flow from operating activities to fund these requirements, they may not be able to achieve their growth plans, fund their other liquidity and capital needs, or ultimately service their lease expenses, which would harm their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Unexpected termination of leases, failure to renew the leases of the operating entities’ existing premises, or failure to renew such leases at acceptable terms could materially and adversely affect their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our subsidiaries and the VIEs lease the premises for all of their stores and their corporate office and central factory. As a result, the operating entities may be subject to compulsory acquisition, closure, or demolition of any of the properties on which their stores are situated. Although the operating entities may receive liquidated damages or compensation if their leases are terminated unexpectedly, they may be forced to suspend operations of the relevant store and divert management attention, time, and costs to find a new site and relocate their store, which will negatively affect their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subsidiaries and the VIEs enter into leases of approximately one to 15 years with an option to renew for their stores. We cannot assure you that the operating entities would be able to renew the relevant lease agreements without substantial additional cost or increase in the rental cost payable by them. If a lease agreement is renewed at a rent substantially higher than the current rate, or currently existing favorable terms granted by the lessor are not extended, the operating entities’ business and results of operations may be materially and adversely affected. If the operating entities are unable to renew the leases for their store sites, they will have to close or relocate the store, which could subject them to decoration and other costs and risks, and loss of existing customers, and could have a material adverse effect on their business and results of operations. In addition, the relocated store may not perform as well as the existing store.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operating entities cannot manage their growth effectively and efficiently, their results of operations or profitability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continue to expand our business by opening new stores. This expansion has placed, and will continue to place, substantial demands on the operating entities’ managerial, operational, technological, and other types of resources. The operating entities’ planned expansion will also place significant demands on them to maintain the quality of their product and customer services to ensure that their brand does not suffer as a result of any deviations, whether actual or perceived, in the quality of their product and customer services. In order to manage and support their growth, the operating entities must continue to improve their existing operational, administrative, and technological systems and their financial and management controls, and recruit, train, and retain additional qualified bakery industry professionals as well as other administrative and sales and marketing personnel, particularly as they expand into new markets and launch new business initiatives. The operating entities may not be able to effectively and efficiently manage the growth of their operations, recruit and retain qualified personnel, and integrate new expansion into their operations. As a result, their quality of service may deteriorate and their results of operations or profitability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decrease in customer traffic in the shopping malls or other locations in which the operating entities’ stores are located could cause their sales to be less than expected.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the operating entities’ stores are mainly located in shopping malls, other shopping centers, and busy street locations. Sales at these stores are derived, to a significant degree, from the volume of customer traffic in those locations and in the surrounding area. The operating entities’ stores benefit from the current popularity of shopping malls and centers as shopping destinations and their ability to generate customer traffic in the vicinity of these stores. The operating entities’ sales volume and customer traffic may be adversely affected by, among other things: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economic downturns in Xinjiang or New York City;</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high fuel prices;</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customer demographics;</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decrease in popularity of shopping malls or centers in which a significant number of their stores are located;</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closing of the “anchor” store of a shopping mall or center or the stores of other key tenants; or</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deterioration in the financial condition of shopping mall and center operators or developers which could, for example, limit their ability to maintain and improve their facilities.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reduction in customer traffic as a result of these or any other factors could have a material adverse effect on the operating entities.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severe weather conditions and other catastrophic occurrences in areas in which the operating entities have stores may have a material adverse effect on their results of operations. Such conditions may result in physical damage to the operating entities’ stores, loss of inventory, decreases in customer traffic, and closure of one or more of their stores. Any of these factors may disrupt the operating entities’ business and have a material adverse effect on their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operating entities are unable to attract, train, assimilate, and retain employees that embody their culture, including store personnel, store and district managers, senior managers, and technicians, they may not be able to grow or successfully operate their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entities’ success depends in part upon their ability to attract, train, assimilate, and retain a sufficient number of employees, including store personnel, store managers, and district managers, who understand and appreciate their culture and are able to represent their brand effectively and establish credibility with their customers. If the operating entities are unable to hire and retain store personnel capable of consistently providing a high level of customer service, as demonstrated by their enthusiasm for the operating entities’ culture, understanding of their customers, and knowledge of the bakery and other products the operating entities offer, the operating entities’ ability to open new stores may be impaired, the performance of their existing and new stores could be materially adversely affected, and their brand image may be negatively impacted. In addition, the rate of employee turnover in the bakery industry is typically high and finding qualified candidates to fill positions may be difficult. The operating entities’ planned growth will require them to attract, train, and assimilate even more personnel. Any failure to meet their staffing needs or any material increases in team member turnover rates could have a material adverse effect on their business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place substantial reliance on the bakery industry experience and knowledge of our senior management team as well as their relationships with other industry participants. Mr. Gang Li, our Chairman, and Ms. Jihong Cai, our chief financial officer, are particularly important to our future success due to their substantial experience and reputation in the bakery markets. As of the date of this annual report, we do not carry key person insurance on any of our senior management team. The loss of the services of one or more members of our senior management team due to their departure, or otherwise, could hinder our ability to effectively manage our business and implement our growth strategies. Finding suitable replacements for our current senior management could be difficult, and competition for such personnel of similar experience is intense. If we fail to retain our senior management, our business and results of operations could be materially and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for technicians and other individuals with the required technical expertise to succeed in the operating entities’ business is highly competitive. There may be a limited supply of qualified individuals in some of the cities in the PRC where the operating entities have operations and other cities into which they intend to expand. The operating entities must hire and train qualified technicians and other employees on a timely basis to keep pace with their rapid growth while maintaining consistent quality of products across their operations in various geographic locations. The operating entities must also provide continuous training to their technicians and other employees so that these employees are equipped with up-to-date knowledge of various aspects of their operations and can meet their demand for high-quality products. If the operating entities fail to do so, the quality of their products may decrease in one or more of the markets where they operate, which in turn, may cause a negative perception of their brand and adversely affect their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maintain the quality of customer services could harm the operating entities’ reputation and their ability to retain existing customers and attract new customers, which may materially and adversely affect their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entities’ business is significantly affected by the overall size of their customer base, which in turn is determined by, among other factors, these customers’ experience with their customer services. As such, the quality of customer services is critical to retaining their existing customers and attracting new customers. If the operating entities fail to provide quality customers services, their customers may be less inclined to visit the operating entities’ stores and purchase their products or recommend these stores to new customers, and may switch to the operating entities’ competitors. Failure to maintain the quality of customer services could harm the operating entities’ reputation and may materially and adversely affect their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ongoing need for renovations and other capital improvements at the operating entities’ stores could have a material adverse effect on the operating entities, including their financial condition, liquidity,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improve the in-store experience of our customers, the operating entities’ stores have an ongoing need for maintenance and renovations and other capital improvements, including replacements, from time to time, of furniture, fixtures, and equipment. These capital improvements may give rise to the following risks:</w:t>
      </w:r>
    </w:p>
    <w:p>
      <w:pPr>
        <w:pStyle w:val="TextBody"/>
        <w:bidi w:val="0"/>
        <w:spacing w:before="0" w:after="0"/>
        <w:ind w:left="0" w:right="0" w:hanging="0"/>
        <w:jc w:val="left"/>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105"/>
        <w:gridCol w:w="200"/>
        <w:gridCol w:w="321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2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possible environmental liabilities;</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3215"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2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construction cost overruns and delays;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decline in revenue while stores are out of service due to capital improvement projects;</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possible shortage of available cash to fund capital improvements and the related possibility that financing for these capital improvements may not be available to the operating entities on favorable terms, or at all;</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uncertainties as to market demand or a loss of market demand after capital improvements have begun; and</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bankruptcy or insolvency of a contracted party during a capital improvement project or other situation that renders them unable to complete their work.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all these capital improvements or any of the above noted factors could have a material adverse effect on the operating entities, including their financial condition, liquidity,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acquisitions may have an adverse effect on the operating entities’ ability to manage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entities may acquire businesses, technologies, services, or products which are complementary to their core bakery product manufacturing and retail business. Future acquisitions may expose the operating entities to potential risks, including risks associated with the integration of new operations, services, and personnel, unforeseen or hidden liabilities, the diversion of resources from the operating entities’ existing business and technology, their potential inability to generate sufficient revenue to offset new costs, the expenses of acquisitions, or the potential loss of or harm to relationships with both employees and customers resulting from their integration of new businesses.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 potential risks listed above could have a material adverse effect on the operating entities’ ability to manage their business, their revenue, and net income. The operating entities may need to raise additional debt funding or sell additional equity securities to make such acquisitions. The raising of additional debt funding by the operating entities, if required, would result in increased debt service obligations and could result in additional operating and financing covenants, or liens on their assets, that would restrict their operations. The sale of additional equity securities could result in additional dilution to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Our Class A Ordinary Shares and the Trading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establish and maintain an effective system of internal control over financial reporting, our ability to accurately and timely report our financial results or prevent fraud may be adversely affected, and investor confidence and the market price of our Class A Ordinary Shares may be adversely impacted.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reporting obligations under U.S. securities laws. The SEC adopted rules pursuant to Section 404 of the Sarbanes-Oxley Act of 2002 requiring every public company to include a management report on such company’s internal control over financial reporting in its annual report, which contains management’s assessment of the effectiveness of its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independent registered public accounting firm has not conducted an audit of our internal control over financial reporting. However, in preparing our consolidated financial statements as of and for the years ended December 31, 2025, 2024, and 2023, we have identified a material weakness in our internal control over financial reporting, as defined in the standards established by the PCAOB, and other control deficiencies. The material weakness identified was that we do not have sufficient in-house personnel in our accounting department with sufficient knowledge of the U.S. GAAP and SEC reporting rules. See “Item 15. Controls and Procedures.” Our management is currently in the process of implementing the steps necessary to remediate the material weakness. Measures that we implement may not fully address the material weakness in our internal control over financial reporting and we may not be able to conclude that the material weakness has been fully remedied.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correct the material weakness and other control deficiencies or failure to discover and address any other control deficiencies could result in inaccuracies in our consolidated financial statements and could also impair our ability to comply with applicable financial reporting requirements and make related regulatory filings on a timely basis. As a result, our business, financial condition, results of operations, and prospects, as well as the trading price of our Class A Ordinary Shares, may be materially and adversely affected. Due to the material weakness in our internal control over financial reporting as described above, our management concluded that our internal control over financial reporting was not effective as of December 31, 2025. This could adversely affect the market price of our Class A Ordinary Shares due to a loss of investor confidence in the reliability of our reporting processes.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dual class structure of our Ordinary Shares has the effect of concentrating voting control with Mr. Gang Li, our Chairman, and his interest may not be aligned with the interests of our other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dual-class voting structure consisting of Class A Ordinary Shares and Class B Ordinary Shares. Under this structure, holders of Class A Ordinary Shares are entitled to one vote per one Class A Ordinary Share, and holders of Class B Ordinary Shares are entitled to 50 votes per one Class B Ordinary Share, which may cause the holders of Class B Ordinary Shares to have an unbalanced, higher concentration of voting power. As of the date of this annual report, Mr. Gang Li, our Chairman, beneficially owns 33,750, or approximately 0.06% of our issued Class A Ordinary Shares, and 70,875, or 100%, of our issued Class B Ordinary Shares, representing approximately 5.72% of the voting rights in our Company. As a result, Mr. Gang Li has substantial influence over our business, including decisions regarding mergers, consolidations and the sale of all or substantially all of our assets, election of directors, and other significant corporate actions. He may take actions that are not in the best interests of us or our other shareholders. These corporate actions may be taken even if they are opposed by our other shareholders. Further, such concentration of voting power may discourage, prevent, or delay the consummation of change of control transactions that shareholders may consider favorable, including transactions in which shareholders might otherwise receive a premium for their shares. Future issuances of Class B Ordinary Shares may also be dilutive to the holders of Class A Ordinary Shares. As a result, the market price of our Class A Ordinary Shares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dual-class structure of our Ordinary Shares may adversely affect the trading market for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Several shareholder advisory firms have announced their opposition to the use of multiple class structures. As a result, the dual class structure of our Ordinary Shares may cause shareholder advisory firms to publish negative commentary about our corporate governance practices or otherwise seek to cause us to change our capital structure. Any actions or publications by shareholder advisory firms critical of our corporate governance practices or capital structure could also adversely affect the value of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Substantial future sales of our Class A Ordinary Shares or the anticipation of future sales of our Class A Ordinary Shares in the public market could cause the price of our Class A Ordinary Shares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substantial amounts of our Class A Ordinary Shares in the public market, or the perception that these sales could occur, could cause the market price of our Class A Ordinary Shares to decline. An aggregate of 58,957,905 Class A Ordinary Shares are outstanding as of the date of this annual report. Sales of these shares into the market could cause the market price of our Class A Ordinary Shares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intend to pay dividends for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we intend to retain any future earnings to finance the operation and expansion of our business, and we do not expect to declare or pay any dividends in the foreseeable future. As a result, you may only receive a return on your investment in our Class A Ordinary Shares if the market price of our Class A Ordinary Shares increases.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research or reports about our business, or if they publish a negative report regarding our Class A Ordinary Shares, the price of our Class A Ordinary Shares and trading volume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trading market for our Class A Ordinary Shares may depend in part on the research and reports that industry or securities analysts publish about us or our business. We do not have any control over these analysts. If one or more of the analysts who cover us downgrade us, the price of our Class A Ordinary Shares would likely decline. If one or more of these analysts cease coverage of our company or fail to regularly publish reports on us, we could lose visibility in the financial markets, which could cause the price of our Class A Ordinary Shares and the trading volume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our Class A Ordinary Shares may be volatile or may decline regardless of our operating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price of our Class A Ordinary Shares is likely to be volatile and could fluctuate widely due to factors beyond our control. This may happen because of broad market and industry factors, including the performance and fluctuation of the market prices of other companies with business operations located mainly in China that have listed their securities in the United States. The securities of some of these companies have experienced significant volatility since their initial public offerings, including, in some cases, substantial price declines in their trading prices. The trading performances of other Chinese companies’ securities after their offerings may affect the attitudes of investors toward Chinese companies listed in the United States in general and consequently may impact the trading performance of our Class A Ordinary Shares, regardless of our actual operating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Class A Ordinary Shares may fluctuate significantly in response to numerous factors, many of which are beyond our control, including:</w:t>
      </w:r>
    </w:p>
    <w:p>
      <w:pPr>
        <w:pStyle w:val="TextBody"/>
        <w:bidi w:val="0"/>
        <w:spacing w:before="0" w:after="0"/>
        <w:ind w:left="0" w:right="0" w:hanging="0"/>
        <w:jc w:val="both"/>
        <w:rPr>
          <w:caps w:val="false"/>
          <w:smallCaps w:val="false"/>
        </w:rPr>
      </w:pPr>
      <w:r>
        <w:rPr>
          <w:caps w:val="false"/>
          <w:smallCaps w:val="false"/>
        </w:rPr>
        <w:t> </w:t>
      </w:r>
    </w:p>
    <w:tbl>
      <w:tblPr>
        <w:tblW w:w="6528" w:type="dxa"/>
        <w:jc w:val="left"/>
        <w:tblInd w:w="0" w:type="dxa"/>
        <w:tblLayout w:type="fixed"/>
        <w:tblCellMar>
          <w:top w:w="0" w:type="dxa"/>
          <w:left w:w="0" w:type="dxa"/>
          <w:bottom w:w="0" w:type="dxa"/>
          <w:right w:w="0" w:type="dxa"/>
        </w:tblCellMar>
      </w:tblPr>
      <w:tblGrid>
        <w:gridCol w:w="68"/>
        <w:gridCol w:w="200"/>
        <w:gridCol w:w="626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actual or anticipated fluctuations in our revenue and other operating results;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financial projections we may provide to the public, any changes in these projections or our failure to meet these projections;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actions of securities analysts who initiate or maintain coverage of us, changes in financial estimates by any securities analysts who follow our company, or our failure to meet these estimates or the expectations of investors;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announcements by us or our competitors of significant products or features, technical innovations, acquisitions, strategic partnerships, joint ventures, or capital commitments;</w:t>
            </w:r>
          </w:p>
        </w:tc>
      </w:tr>
    </w:tbl>
    <w:p>
      <w:pPr>
        <w:pStyle w:val="TextBody"/>
        <w:bidi w:val="0"/>
        <w:spacing w:before="0" w:after="0"/>
        <w:ind w:left="0" w:right="0" w:hanging="0"/>
        <w:jc w:val="both"/>
        <w:rPr>
          <w:caps w:val="false"/>
          <w:smallCaps w:val="false"/>
        </w:rPr>
      </w:pPr>
      <w:r>
        <w:rPr>
          <w:caps w:val="false"/>
          <w:smallCaps w:val="false"/>
        </w:rPr>
        <w:t> </w:t>
      </w:r>
    </w:p>
    <w:tbl>
      <w:tblPr>
        <w:tblW w:w="9723" w:type="dxa"/>
        <w:jc w:val="left"/>
        <w:tblInd w:w="0" w:type="dxa"/>
        <w:tblLayout w:type="fixed"/>
        <w:tblCellMar>
          <w:top w:w="0" w:type="dxa"/>
          <w:left w:w="0" w:type="dxa"/>
          <w:bottom w:w="0" w:type="dxa"/>
          <w:right w:w="0" w:type="dxa"/>
        </w:tblCellMar>
      </w:tblPr>
      <w:tblGrid>
        <w:gridCol w:w="68"/>
        <w:gridCol w:w="200"/>
        <w:gridCol w:w="945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4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price and volume fluctuations in the overall stock market, including as a result of trends in the economy as a whole;</w:t>
            </w:r>
          </w:p>
        </w:tc>
      </w:tr>
    </w:tbl>
    <w:p>
      <w:pPr>
        <w:pStyle w:val="TextBody"/>
        <w:bidi w:val="0"/>
        <w:jc w:val="left"/>
        <w:rPr>
          <w:caps w:val="false"/>
          <w:smallCaps w:val="false"/>
        </w:rPr>
      </w:pPr>
      <w:r>
        <w:rPr>
          <w:caps w:val="false"/>
          <w:smallCaps w:val="false"/>
        </w:rPr>
        <w:t> </w:t>
      </w:r>
    </w:p>
    <w:tbl>
      <w:tblPr>
        <w:tblW w:w="3813" w:type="dxa"/>
        <w:jc w:val="left"/>
        <w:tblInd w:w="0" w:type="dxa"/>
        <w:tblLayout w:type="fixed"/>
        <w:tblCellMar>
          <w:top w:w="0" w:type="dxa"/>
          <w:left w:w="0" w:type="dxa"/>
          <w:bottom w:w="0" w:type="dxa"/>
          <w:right w:w="0" w:type="dxa"/>
        </w:tblCellMar>
      </w:tblPr>
      <w:tblGrid>
        <w:gridCol w:w="68"/>
        <w:gridCol w:w="200"/>
        <w:gridCol w:w="354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lawsuits threatened or filed against us; and</w:t>
            </w:r>
          </w:p>
        </w:tc>
      </w:tr>
    </w:tbl>
    <w:p>
      <w:pPr>
        <w:pStyle w:val="TextBody"/>
        <w:bidi w:val="0"/>
        <w:jc w:val="left"/>
        <w:rPr>
          <w:caps w:val="false"/>
          <w:smallCaps w:val="false"/>
        </w:rPr>
      </w:pPr>
      <w:r>
        <w:rPr>
          <w:caps w:val="false"/>
          <w:smallCaps w:val="false"/>
        </w:rPr>
        <w:t> </w:t>
      </w:r>
    </w:p>
    <w:tbl>
      <w:tblPr>
        <w:tblW w:w="9378" w:type="dxa"/>
        <w:jc w:val="left"/>
        <w:tblInd w:w="0" w:type="dxa"/>
        <w:tblLayout w:type="fixed"/>
        <w:tblCellMar>
          <w:top w:w="0" w:type="dxa"/>
          <w:left w:w="0" w:type="dxa"/>
          <w:bottom w:w="0" w:type="dxa"/>
          <w:right w:w="0" w:type="dxa"/>
        </w:tblCellMar>
      </w:tblPr>
      <w:tblGrid>
        <w:gridCol w:w="68"/>
        <w:gridCol w:w="200"/>
        <w:gridCol w:w="911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events or factors, including those resulting from war or incidents of terrorism, or responses to these events.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stock markets have experienced extreme price and volume fluctuations that have affected and continue to affect the market prices of equity securities of many companies. Stock prices of many companies have fluctuated in a manner unrelated or disproportionate to the operating performance of those companies. In the past, shareholders have filed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additional risks and uncertainties related to any potential actions resulting from the Securities and Exchange Commission, or the SEC and Nasdaq, ongoing investigation, or any other investigation or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2024, the SEC issued an Order of Suspension of Trading temporarily suspending trading in our Class A Ordinary Shares for the period from 4:00 a.m. EDT on October 8, 2024, through 11:59 p.m. EDT on October 21, 2024. On October 8, 2024, we received an information request from The Nasdaq Stock Market LLC (“Nasdaq”) for certain information and documents and we provided relevant documents to Nasdaq on October 11, 2024. We have not received follow-up inquiries or requests from SEC or Nasdaq since then. Although our Class A Ordinary Shares resumed trading upon expiration of the SEC order, we are unable to predict the outcome of the SEC investigation or inquiry of Nasdaq or any other actions the SEC or Nasdaq may take in connection therewith. Furthermore, the Company’s reputation may be negatively impacted. As a result, the potential impact to the Company’s business, if any, cannot be determined.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cease to qualify as a foreign private issuer, we would be required to comply fully with the reporting requirements of the Exchange Act applicable to U.S. domestic issuers, and we would incur significant additional legal, accounting, and other expenses that we would not incur as a foreign private issuer.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exempt from the rules under the Exchange Act prescribing the furnishing and content of proxy statements, and our officers, directors, and principal shareholders are exempt from short-swing profit recovery provisions contained in Section 16 of the Exchange Act. In addition, we are not required under the Exchange Act to file periodic reports and financial statements with the SEC as frequently or as promptly as United States domestic issuers, and we are not required to disclose in our periodic reports all of the information that United States domestic issuers are required to disclose. While we currently are deemed as a foreign private issuer, we may cease to qualify as a foreign private issuer in the future, in which case we would incur significant additional expenses that could have a material adverse effect on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we are a foreign private issuer and are exempt from certain Nasdaq corporate governance standards applicable to U.S. issuers, you will have less protection than you would have if we were a domestic issuer.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Cayman Islands company listed on the Nasdaq Capital Market, we are subject to the Nasdaq corporate governance listing standards. Nasdaq rules, however, permit a foreign private issuer like us to follow the corporate governance practices of its home country. Certain corporate governance practices in the Cayman Islands, which is our home country, may differ significantly from the Nasdaq corporate governance listing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Listing Rule 5635 generally provides that shareholder approval is required of U.S. domestic companies listed on Nasdaq prior to issuance (or potential issuance) of securities (i) equaling 20% or more of the company’s common stock or voting power for less than the greater of market or book value (ii) resulting in a change of control of the company; and (iii) which is being issued pursuant to a stock option or purchase plan to be established or materially amended or other equity compensation arrangement made or materially amended. Notwithstanding this general requirement, Nasdaq Listing Rule 5615(a)(3)(A) permits foreign private issuers to follow their home country practice rather than these shareholder approval requirements. The Cayman Islands do not require shareholder approval prior to any of the foregoing types of issuances. We, therefore, are not required to obtain such shareholder approval prior to entering into a transaction with the potential to issue securities as described above. We have followed, and intend to continue to follow, home country practice in lieu of the requirements under Nasdaq listing rules with respect to shareholder approval in connection with the types of issuances contemplated within this disclosure.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Listing Rule 5605(b)(1) requires listed companies to have, among other things, a majority of its board members be independent. As a foreign private issuer, however, we are permitted to, and we may follow home country practice in lieu of the above requirement. The corporate governance practice in our home country, the Cayman Islands, does not require a majority of our board to consist of independent directors. Currently, a majority of our board members are independent. However, if we change our board composition such that independent directors do not constitute a majority of our board of directors, our shareholders may be afforded less protection than they would otherwise enjoy under Nasdaq’s corporate governance requirements applicable to U.S. domestic issuers.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If we cannot continue to satisfy the continued listing requirements and other rules of the Nasdaq Capital Market, our securities may be delisted, which could negatively impact the price of our securities and your ability to sell them.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are listed on the Nasdaq Capital Market. In order to maintain our listing on the Nasdaq Capital Market, we are required to comply with certain rules of the Nasdaq Capital Market, including those regarding minimum shareholders’ equity, minimum share price, minimum market value of publicly held shares, and various additional requirements. We may not be able to continue to satisfy these requirements and applicable rules. If we are unable to satisfy the Nasdaq Capital Market criteria for maintaining our listing, our securities could be subject to delisting.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10, 2025, we received a notice from the Listing Qualifications Department of Nasdaq notifying the Company that based upon the closing bid price of the Class A Ordinary Shares of the Company for the last 30 consecutive business days, the Company no longer meets the continued listing requirement of Nasdaq under Nasdaq Listing Rules 5550(a)(2) to maintain a minimum bid price of $1 per share. Nasdaq has provided the Company with a 180 calendar days compliance period, or until September 8, 2025, in which to regain compliance with Nasdaq continued listing requirement. We regained compliance with the minimum bid price requirement after implementing an 80 for 1 share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Nasdaq Capital Market delists our securities from trading because of possible non-compliance with Nasdaq continued listing requirement in the future, we could face significant consequences, including:</w:t>
      </w:r>
    </w:p>
    <w:p>
      <w:pPr>
        <w:pStyle w:val="TextBody"/>
        <w:bidi w:val="0"/>
        <w:spacing w:before="0" w:after="0"/>
        <w:ind w:left="0" w:right="0" w:hanging="0"/>
        <w:jc w:val="both"/>
        <w:rPr>
          <w:caps w:val="false"/>
          <w:smallCaps w:val="false"/>
        </w:rPr>
      </w:pPr>
      <w:r>
        <w:rPr>
          <w:caps w:val="false"/>
          <w:smallCaps w:val="false"/>
        </w:rPr>
        <w:t> </w:t>
      </w:r>
    </w:p>
    <w:tbl>
      <w:tblPr>
        <w:tblW w:w="5313" w:type="dxa"/>
        <w:jc w:val="left"/>
        <w:tblInd w:w="0" w:type="dxa"/>
        <w:tblLayout w:type="fixed"/>
        <w:tblCellMar>
          <w:top w:w="0" w:type="dxa"/>
          <w:left w:w="0" w:type="dxa"/>
          <w:bottom w:w="0" w:type="dxa"/>
          <w:right w:w="0" w:type="dxa"/>
        </w:tblCellMar>
      </w:tblPr>
      <w:tblGrid>
        <w:gridCol w:w="68"/>
        <w:gridCol w:w="200"/>
        <w:gridCol w:w="504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0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limited availability for market quotations for our securities;</w:t>
            </w:r>
          </w:p>
        </w:tc>
      </w:tr>
    </w:tbl>
    <w:p>
      <w:pPr>
        <w:pStyle w:val="TextBody"/>
        <w:bidi w:val="0"/>
        <w:jc w:val="left"/>
        <w:rPr>
          <w:caps w:val="false"/>
          <w:smallCaps w:val="false"/>
        </w:rPr>
      </w:pPr>
      <w:r>
        <w:rPr>
          <w:caps w:val="false"/>
          <w:smallCaps w:val="false"/>
        </w:rPr>
        <w:t> </w:t>
      </w:r>
    </w:p>
    <w:tbl>
      <w:tblPr>
        <w:tblW w:w="4188" w:type="dxa"/>
        <w:jc w:val="left"/>
        <w:tblInd w:w="0" w:type="dxa"/>
        <w:tblLayout w:type="fixed"/>
        <w:tblCellMar>
          <w:top w:w="0" w:type="dxa"/>
          <w:left w:w="0" w:type="dxa"/>
          <w:bottom w:w="0" w:type="dxa"/>
          <w:right w:w="0" w:type="dxa"/>
        </w:tblCellMar>
      </w:tblPr>
      <w:tblGrid>
        <w:gridCol w:w="68"/>
        <w:gridCol w:w="200"/>
        <w:gridCol w:w="392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reduced liquidity with respect to our securities;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determination that our Class A Ordinary Share is a “penny stock,” which will require brokers trading in our Class A Ordinary Share to adhere to more stringent rules and possibly result in a reduced level of trading activity in the secondary trading market for our Class A Ordinary Share;</w:t>
            </w:r>
          </w:p>
        </w:tc>
      </w:tr>
    </w:tbl>
    <w:p>
      <w:pPr>
        <w:pStyle w:val="TextBody"/>
        <w:bidi w:val="0"/>
        <w:jc w:val="left"/>
        <w:rPr>
          <w:caps w:val="false"/>
          <w:smallCaps w:val="false"/>
        </w:rPr>
      </w:pPr>
      <w:r>
        <w:rPr>
          <w:caps w:val="false"/>
          <w:smallCaps w:val="false"/>
        </w:rPr>
        <w:t> </w:t>
      </w:r>
    </w:p>
    <w:tbl>
      <w:tblPr>
        <w:tblW w:w="4428" w:type="dxa"/>
        <w:jc w:val="left"/>
        <w:tblInd w:w="0" w:type="dxa"/>
        <w:tblLayout w:type="fixed"/>
        <w:tblCellMar>
          <w:top w:w="0" w:type="dxa"/>
          <w:left w:w="0" w:type="dxa"/>
          <w:bottom w:w="0" w:type="dxa"/>
          <w:right w:w="0" w:type="dxa"/>
        </w:tblCellMar>
      </w:tblPr>
      <w:tblGrid>
        <w:gridCol w:w="68"/>
        <w:gridCol w:w="200"/>
        <w:gridCol w:w="416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1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limited amount of news and analyst coverage; and</w:t>
            </w:r>
          </w:p>
        </w:tc>
      </w:tr>
    </w:tbl>
    <w:p>
      <w:pPr>
        <w:pStyle w:val="TextBody"/>
        <w:bidi w:val="0"/>
        <w:jc w:val="left"/>
        <w:rPr>
          <w:caps w:val="false"/>
          <w:smallCaps w:val="false"/>
        </w:rPr>
      </w:pPr>
      <w:r>
        <w:rPr>
          <w:caps w:val="false"/>
          <w:smallCaps w:val="false"/>
        </w:rPr>
        <w:t> </w:t>
      </w:r>
    </w:p>
    <w:tbl>
      <w:tblPr>
        <w:tblW w:w="7803" w:type="dxa"/>
        <w:jc w:val="left"/>
        <w:tblInd w:w="0" w:type="dxa"/>
        <w:tblLayout w:type="fixed"/>
        <w:tblCellMar>
          <w:top w:w="0" w:type="dxa"/>
          <w:left w:w="0" w:type="dxa"/>
          <w:bottom w:w="0" w:type="dxa"/>
          <w:right w:w="0" w:type="dxa"/>
        </w:tblCellMar>
      </w:tblPr>
      <w:tblGrid>
        <w:gridCol w:w="68"/>
        <w:gridCol w:w="200"/>
        <w:gridCol w:w="753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5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decreased ability to issue additional securities or obtain additional financing in the future.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we are an “emerging growth company,” we may not be subject to requirements that other public companies are subject to, which could affect investor confidence in us and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as long as we remain an “emerging growth company,” as defined in the Jumpstart Our Business Startups Act of 2012, we will elect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our periodic reports and proxy statements, and exemptions from the requirements of shareholder approval of any golden parachute payments not previously approved. Because of these lessened regulatory requirements, our shareholders would be left without information or rights available to shareholders of more mature companies. If some investors find our Class A Ordinary Shares less attractive as a result, there may be a less active trading market for our Class A Ordinary Shares and our share price may be more volatile.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laws of the Cayman Islands may not provide our shareholders with benefits comparable to those provided to shareholders of corporations incorporated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exempted company incorporated under the laws of the Cayman Islands with limited liability. Our corporate affairs are governed by our amended and restated memorandum and articles of association, by the Companies Act (Revised) of the Cayman Islands and by the common law of the Cayman Islands. The rights of shareholders to take action against our directors, actions by minority shareholders and the fiduciary responsibilities of our directors to us under Cayman Islands law are to a large extent governed by the common law of the Cayman Islands. The common law in the Cayman Islands is derived in part from comparatively limited judicial precedent in the Cayman Islands and from English common law. Appeals from the Cayman Islands Courts to the Privy Council (which is the final Court of Appeal for British overseas territories such as the Cayman Islands) are binding on the courts in the Cayman Islands. Decisions of the English courts, and particularly the Supreme Court and the Court of Appeal are generally of persuasive authority but are not binding in the courts of the Cayman Islands. Decisions of courts in other Commonwealth jurisdictions are similarly of persuasive but not binding authority. The rights of our shareholders and the fiduciary responsibilities of our directors under Cayman Islands law are not as clearly established as they would be under statutes or judicial precedents in the U.S. In particular, the Cayman Islands has a less developed body of securities laws relative to the U.S. Therefore, our public shareholders may have more difficulty protecting their interests in the face of actions by our management, directors or controlling shareholders than would shareholders of a corporation incorporated in a jurisdiction in the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of Cayman Islands exempted companies like us have no general rights under Cayman Islands law to inspect corporate records or to obtain copies of the register of members of these companies. Pursuant to our amended and restated articles of association, shareholders will not have any right to inspect any account or book or document of the Company except as conferred by Companies Act (Revised) of the Cayman Islands or as authorized by our directors or by ordinary resolution of our shareholders. This may make it more difficult for you to obtain the information needed to establish any facts necessary for a shareholder motion or to solicit proxies from other shareholders in connection with a proxy contest.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all of the above, public shareholders may have more difficulty in protecting their interests in the face of actions taken by our management, members of the board of directors, or controlling shareholders than they would as public shareholders of a company incorporated in the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be unable to present proposals before annual general meetings or extraordinary general meetings not called by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provides shareholders with only limited rights to requisition a general meeting, and does not provide shareholders with any right to put any proposal before a general meeting. These rights, however, may be provided in a company’s articles of association. Our amended and restated articles of association allow our shareholders holding shares representing in aggregate not less than 10% of our voting share capital in issue, to requisition a general meeting of our shareholders, in which case our directors are obliged to call such meeting within 21 clear days’ from the date of receipt of a requisition. If our directors fail to call a properly requisitioned meeting, the requisitioners or any of them may call a general meeting within three months after the end of that period. Advance notice of at least 21 clear days is required for the convening of our annual general shareholders’ meeting and at least 14 clear days’ notice of any other general meeting of our shareholders. A quorum required for a meeting of shareholders consists of at least one shareholder present or by proxy, representing not less than one-third of the total issued shares carrying the right to vote at a general meeting of the Company. For these purposes, “clear days” means that period excluding (a) the day when the notice is given or deemed to be given and (b) the day for which it is given or on which it is to take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classified as a PFIC, United States taxpayers who own our Class A Ordinary Shares may have adverse United States federal income tax consequences.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corporation such as ourselves will be classified as a PFIC, for any taxable year if, for such year, either:</w:t>
      </w:r>
    </w:p>
    <w:p>
      <w:pPr>
        <w:pStyle w:val="TextBody"/>
        <w:bidi w:val="0"/>
        <w:spacing w:before="0" w:after="0"/>
        <w:ind w:left="0" w:right="0" w:hanging="0"/>
        <w:jc w:val="both"/>
        <w:rPr>
          <w:caps w:val="false"/>
          <w:smallCaps w:val="false"/>
        </w:rPr>
      </w:pPr>
      <w:r>
        <w:rPr>
          <w:caps w:val="false"/>
          <w:smallCaps w:val="false"/>
        </w:rPr>
        <w:t> </w:t>
      </w:r>
    </w:p>
    <w:tbl>
      <w:tblPr>
        <w:tblW w:w="5733" w:type="dxa"/>
        <w:jc w:val="left"/>
        <w:tblInd w:w="0" w:type="dxa"/>
        <w:tblLayout w:type="fixed"/>
        <w:tblCellMar>
          <w:top w:w="0" w:type="dxa"/>
          <w:left w:w="0" w:type="dxa"/>
          <w:bottom w:w="0" w:type="dxa"/>
          <w:right w:w="0" w:type="dxa"/>
        </w:tblCellMar>
      </w:tblPr>
      <w:tblGrid>
        <w:gridCol w:w="68"/>
        <w:gridCol w:w="200"/>
        <w:gridCol w:w="546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4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least 75% of our gross income for the year is passive income; or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average percentage of our assets (determined at the end of each quarter) during the taxable year which procedures passive income or which are held for the production of passive income is at least 50%.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Passive income generally includes dividends, interest, rents and royalties (other than rents or royalties derived from the active conduct of a trade or business), and gains from the disposition of passive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determined to be a PFIC for any taxable year (or portion thereof) that is included in the holding period of a U.S. taxpayer who holds our Class A Ordinary Shares, the U.S. taxpayer may be subject to increased U.S. federal income tax liability and may be subject to additional reporting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amount of cash we have and any other assets held for the production of passive income, it appears our current taxable year will not cause us to be a PFIC. However, for any subsequent year, more than 50% of our assets may be assets which produce passive income, in which case we would be deemed a PFIC, which could have adverse U.S. federal income tax consequences for U.S. taxpayers who are shareholders. We will make this determination following the end of any particular tax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law in this regard is unclear, we treat the PRC operating entities as being owned by us for United States federal income tax purposes, not only because we exercise effective control over the operations of such entities but also because we are entitled to substantially all of their economic benefits, and, as a result, we consolidate their operating results in our consolidated financial statements. For purposes of the PFIC analysis, in general, a non-U.S. corporation is deemed to own its pro rata share of the gross income and assets of any entity in which it is considered to own at least 25% of the equity by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more detailed discussion of the application of the PFIC rules to us and the consequences to U.S. taxpayers if we were or are determined to be a PFIC, see “Item 10. Additional Information-E. Taxation-United States Federal Income Taxation-PFIC Consequences.”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Anti-takeover provisions in our amended and restated memorandum and articles of association may discourage, delay, or prevent a change in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provisions of our amended and restated memorandum and articles of association may discourage, delay, or prevent a change in control of our company or management that shareholders may consider favorable, including, among other things,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provisions that authorize our board of directors to issue shares with preferred, deferred, or other special rights or restrictions without any further vote or action by our shareholders;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provisions that restrict the ability of our shareholders to call meetings and to propose special matters for consideration at shareholder meetings.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Item 4. INFORMATION ON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History and Development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exempted company with limited liability incorporated and registered under the laws of the Cayman Islands on July 26, 2019. Our principal executive offices are located at B9 Xinjiang Chuangbo Zhigu Industrial Park, No.100 Guangyuan Road, Shuimogou District, Urumqi, Xinjiang, China, and our phone number is +86-0991-2302709. Our registered office in the Cayman Islands is located at 4th Floor, Harbour Place, 103 South Church Street, PO Box 10240, Grand Cayman, KY1-1002 Cayman Islands, and the phone number of our registered office is +1-345-949-8599. We maintain corporate websites at www.ir.chanson-international.net, www.patisseriechanson.com, and www.thymebarnyc.com. The information contained in, or accessible from, our websites or any other website does not constitute a part of this annual report. Our agent for service of process in the U.S. is George Chanson (NY) Corp., located at 41 Madison Avenue, New York, NY 10010.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maintains a website at www.sec.gov that contains reports, proxy, and information statements, and other information regarding issuers that file electronically with the SEC using its EDGAR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information regarding our principal capital expenditures, see “Item 5. Operating and Financial Review and Prospects-B. Liquidity and Capital Resources-Capital Expenditures.”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13, 2026, the Registrar of Companies of the Cayman Islands approved a share capital reduction and reorganisation, as a result of which the par value of the Class A Ordinary Shares and Class B Ordinary Shares was reduced from US$0.08 to US$0.0001 and the Company’s authorized share capital is US$412,500 divided into 4,110,000,000 Class A Ordinary Shares of US$0.0001 par value each and 15,000,000 Class B Ordinary Shares of US$0.0001 par value 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Business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Stores and the U.S. Stores manufacture and sell a wide selection of bakery products, seasonal products (i.e. products sold during particular holiday seasons), and beverage products; some of these stores also offer eat-in services. The PRC Stores and the U.S. Stores currently focus their business in Xinjiang of the PRC and New York City, respectively. The PRC Stores and the U.S. Stores aim to make healthy, nutritious, and ready-to-eat food through advanced facilities and industry research and to create a comfortable, yet distinguishable store environment in which customers can enjoy their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Stores are a bakery chain consisting of 63 stores operated by Xinjiang United Family and the VIEs, under the “George●Chanson” brand in Xinjiang, and the U.S. Stores, which consist of three stores in the U.S., sell their products in New York City. Selling through directly-operated stores, instead of franchise stores, allows the operating entities to run their entire operation more efficiently and to exercise greater control over the quality of products and the presentation of their brand, and to better manage customer experience in the stores. The current customer base of the PRC Stores and the U.S. Stores consists of both individual and corporate customers. To expand their customer base, the PRC Stores and the U.S. Stores have developed a variety of marketing and sale strategies, such as increasing their presence on social media platforms, devising pricing and discounting programs, and improving customer in-store experience.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Stores manufacture the majority of bakery products in their central factory located in Urumqi, Xinjiang, prepare beverage products within the stores, and contract third-party manufacturers to produce seasonal products. The U.S. Stores bake bakery products, prepare breakfast, lunch and all-day brunch, bar food, and other light meals for eat in, and make beverage products all within the kitchen in the store. To ensure the quality and safety of their products, the PRC Stores and the U.S. Stores procure raw materials, including flour, eggs, and milk, from renowned suppliers with a record of consistently supplying high-quality raw materials over decades in the food industry. In addition, the PRC Stores and the U.S. Stores have implemented a rigorous quality control system covering their entire operation process and mandated internal training to improve their employees’ awareness and knowledge of food safety.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PRC Stores had more than 1,246 types of bakery products, seasonal products and beverage products on sale, including over 153 types of new products introduced to the market since January 1, 2025, and the U.S. Stores had 53 types of eat-in menu items and bakery products on sale, including 23 types of new products introduced to the market since January 1, 2025. The PRC Stores and the U.S. Stores also offer a large number of beverage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2024, and 2023, we had total revenue of $18,268,894, $18,227,537, and $17,252,662, respectively, and net income of $187,540, net income of $756,285 and net income of $33,588, respectively. The PRC Stores accounted for 89.5%, 88.5%, and 82.9% of our total revenue for those fiscal years, respectively, and the U.S. Stores accounted for 10.5%, 11.5%, and 17.1%,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Stores primarily generate revenue through sale of bakery products, seasonal products, and beverage products. For the years ended December 31, 2025, 2024, and 2023, revenue derived from sale of bakery products accounted for 89.4%, 91.6%, and 87.6% of the PRC Stores’ revenue, respectively, revenue derived from sale of seasonal products accounted for 9.1%, 6.1%, 9.1%, respectively, and revenue derived from sale of beverage products accounted for 1.5%, 2.3%, and 3.3%,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Stores primarily generate revenue through offering eat-in services and sale of bakery products and beverage products. For the years ended December 31, 2025, 2024, and 2023, revenue derived from offering eat-in services accounted for 8.3%, 14.5%, and 27.0% of the U.S. Stores’ revenue, respectively, revenue derived from sale of bakery products accounted for 13.2%, 24.3%, and 15.1%, respectively, and revenue derived from sale of beverage products accounted for 78.5%, 61.2%, and 57.9%,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Competitive Strengths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we have the following competitive strengths: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Trendy Brand Reflecting Healthy Food Concepts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Stores and the U.S. Stores aim to promote long-term, healthy diets, and have integrated healthy food concepts and nutritious elements into all lines of their products. They have successfully developed a group of popular products based on the low-fat, low-sugar, low-sodium, and protein-rich principles while adjusting product textures and tastes to accommodate customer preferences. These products, including enzyme bread, high-fiber bread, whole-wheat bread, and calcium bread, have been highly praised by their customers. We believe the differentiated approach of the PRC Stores and the U.S. Stores will continue to strengthen the loyalty of existing customers to their brand and will attract new customers to both their products and brand.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Strict Quality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quality has always been one of the top priorities of the PRC Stores and the U.S. Stores. The PRC Stores and the U.S. Stores start quality control with their suppliers by procuring raw materials from renowned suppliers that have proven records of supplying high-quality raw materials and complying with food safety standards and measures. The PRC Stores and the U.S. Stores also continuously introduce new production equipment with up-to-date industry technologies while making further improvements and adjustments to existing production equipment based on their product features and actual production needs. As a result, the PRC Stores have effectively decreased defective rates of all product lines in their central factory and enhanced the quality of their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Stores and the U.S. Stores have created and executed a comprehensive system of quality control and performance appraisal, covering a wide range of activities in procurement, production, sale, finance, and day-to-day employee management, among other things. The system includes central factory daily management procedures, employee health review standards, and factory workshop sanitation and inventory management policies. This system has been effectively used to monitor and conduct hazard analyses on raw materials, production, inventory maintenance, and transportation. In addition, the PRC Stores and the U.S. Stores have adopted a set of strictly standardized rules to further refine quality control in every part of the production process, appropriately adjusting management policies, standards, and measures based on distinct features of their production mode. Through such an integrated approach, the operating entities have been able to adopt a science-backed and data-based style of management, resulting in higher-quality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Advanced Industry Research and Constant Product Innovation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successful history of developing new products based on customer demand and market trends, the PRC Stores and the U.S. Stores focus on constant innovation to improve the taste, texture, formula, and packaging of their products, which has enabled them to introduce new products periodically. The PRC Stores and the U.S. Stores keep separate product lines. As of December 31, 2025, the PRC Stores had introduced over 153 types of new products and the U.S. Stores had introduced 23 types of new products since January 1, 2025. The PRC Stores and the U.S. Stores typically evaluate the profitability of their products annually or semi-annually by considering factors such as cost of revenue increases and competitive pricing strategies. They have historically been able to terminate less profitable products, and launch similar new products and refine their product formulas to enhance existing products with higher prices to cover higher ingredient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develop product formulas that reflect key market trends and thus enable the operating entities’ products to be competitive, the research and development (“R&amp;D”) team members of the PRC Stores and the U.S. Stores frequently participate in industry conferences and engage with industry experts. Through years of efforts, the operating entities have also developed a systematic approach to refine product packaging. For instance, the operating entities seamlessly combine functionality with aesthetics by integrating automatic packaging and packaging techniques with a heat-sealing feature and stylish graphic designs. To keep their organization rejuvenated with innovative ideas, the operating entities have not only devised talent strategies to recruit talents from the PRC, Europe, and the U.S., but also increased the strength and scale of their internal training programs to equip their employees with a strong sense of business and competitiveness.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Advantageous Information Management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maximize their operation efficiency and distribute their resources based on a data-centric principle, the PRC Stores have adopted the ERP System in their stores and central factory. The ERP System is a business process management software for managing business and automating back office functions related to technology, services, and human resources. The ERP System integrates data collected from every critical aspect of the PRC Stores’ production and sale process and facilitates a convenient data exchange process among the management office, the central factory and PRC Stores, and other distributors. Through the ERP System, the PRC Stores are able to locate and verify details of all the processed transactions in the stores and even determine the cost of every single kind of product. The U.S. Stores have not adopted and currently have no plan to adopt the ERP System, since operations of the stores are not as complex as those of the PRC Stores.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Well-Developed Distribution Network in Xinjiang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Stores highly value the development of their distribution network. With years of experience in marketing and selling products in the food industry in Xinjiang, the PRC Stores have adopted a core strategy that focuses on developing a network of stores and supplementing the network with other distribution channels. As of the date of this annual report, the PRC Stores consist of 63 stores in two well-developed cities of Xinjiang, namely Urumqi and Changji. The relatively low labor cost in Xinjiang and the PRC Stores’ long-term, sustainable business relationships with established local supermarkets that enjoy high levels of brand loyalty, such as Youhao Supermarket and Huijia Supermarkets, strengthen their power to control front-end product sales, prepare them with a solid foundation to explore new market opportunities, and improve their operation efficiency. The PRC Stores also sell products through third-party online food ordering platforms. To maintain a close connection between the point of sale of each distribution channel and their production team, the PRC Stores primarily use their own transportation team to transport products. Third-party companies sometimes provide ancillary logistic support. The PRC stores have designed and effectively implemented various marketing strategies in their distribution network in Xinjiang to introduce new products and promote marketing campaigns within short periods of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Experienced Management and Professional Teams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senior management team, led by Mr. Gang Li, our Chief Executive Officer and Chairman, and Ms. Jihong Cai, our Chief Financial Officer, has deep expertise and a proven track of record in managing brands and operating food and retailing businesses. Our professional team is comprised of highly-skilled and dedicated employees with wide ranging experience in services, product development, business development, and marketing. We believe that our management and professional teams will not only be able to effectively grow our business through continued operating improvement and research, but also serve as key drivers of our success and position our Company as an attractive vehicle for future long-term growth in the food industry beyond bakery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Growth Strategies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develop our business and strengthen brand loyalty by pursuing the following strategies: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Expand into New Markets by Opening New Stores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Stores and the U.S. Stores plan to explore new markets while enhancing their current presence in the Xinjiang market and the New York City market by analyzing their sales data and features of customer trends in different regions, continuously focusing on improving customer in-store experience, further expanding their distribution networks, and exploring new partnership opportunities. As of the date of this annual report, the U.S. Stores are negotiating with potential business partners for the opening of new stores, however, they have not entered into any agreements in connection with such new stores that have not been previously disclosed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Enhance In-Store Customer Experience and Customer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improve customer in-store experience and the visibility of their brand image across different regions, the PRC Stores and the U.S. Stores seek to renovate their stores when needed. Their vision is to create a store environment consisting of a clean, modern interior design, with open kitchens, relaxing background music, soft light, and the smell of freshly-made bakery products. In addition to implanting fundamental brand values into renovation, the PRC Stores and the U.S. Stores also give individual store managers flexibility in decorating their store and arranging the display of their products in ways that match characteristics of the region where the store is located and cater to local customers’ needs. To enhance customer services, the PRC Stores and the U.S. Stores have been systematically training and will continuously provide standardized training to their store employees, so they are able to present themselves in consistent manners and provide high-quality services that uphold their brand image. We firmly believe that a relaxing café environment, which allow customers to use the PRC Stores and the U.S. Stores as their go-to places for multiple social purposes, in-store experiences with elements distinctively associated with their brand, and high-quality services will allow the PRC Stores and the U.S. Stores to stand out from their competitors.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Keep Implementing Healthy and Nutritious Diet Principles in Product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socially responsible company, the corporate mission of the PRC Stores and the U.S. Stores is to promote healthy, nutritious, and conscious eating. To further align their actions with their vision, the PRC Stores and the U.S. Stores have integrated and plan to keep integrating healthy elements and concepts, such as zero fat or low fat, low calorie, zero or low sugar, high fiber, vitamins and minerals, and low oligosaccharide into their existing and future products through measures and procedures that have been approved by industry experts.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Increase Brand Awareness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Stores and the U.S. Stores will continue to increase customer awareness and excitement for the “George●Chanson,” “Patisserie Chanson,” and “Chanson” brands and drive customer loyalty through their marketing efforts, social media presence, continued store expansion, and growing e-commerce sales. Their marketing programs are designed to develop and foster a personal connection with the community and position Chanson as a high-quality, community-conscious brand that provides healthy, nutritious, and ready-to-eat food. The PRC Stores and the U.S. Stores will also continue to leverage their growing social media presence to increase their online sales and drive additional store visits within existing and new markets. The U.S. Stores see a significant opportunity to increase their brand visibility in the New York City market, which will be a key area of focus in their marketing strategy going forward.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PRC Stores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PRC Stores had more than 1,246 types of bakery products, seasonal products and beverage products on sale, including over 153 types of new products introduced to the market since January 1, 2025. Bakery products of the PRC Stores include packaged bakery products (cakes, bread, and snacks), birthday cakes, and made-in-store pastries. The bestselling bakery products are little puffs, chocolate cakes, cheesecakes, whole-wheat bread, multigrain bread, original-flavor cookies, amber-walnut cookies, seven-inch fruit cakes, croissants, and almond pudding. Seasonal products of the PRC Stores include mooncakes and zongzi (sticky-rice ball stuffed with different fillings and wrapped in bamboo leaves). The bestselling seasonal products are red-bean flavored mooncakes, sweet-date flavored zongzi, and flower flavored zongzi. Beverage products of the PRC Stores include store-made beverages and juice products. The bestselling beverage products are Americano, latte, coconut latte, oatmeal latte, cappuccino, and orange flavored tea and lemon flavored tea.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Manufacturing and Logistics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Stores produce packaged bakery products at their central factory before shipping them to the stores. For birthday cakes and made-in-store pastries, the PRC Stores primarily produce semi-finished products, such as various sweet dough and plain cakes at their central factory and ship them to the stores, leaving the final processing of made-in-store pastries and the decoration of birthday cakes to their employees at the stores.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Stores contract third-party producers to produce seasonal products, mainly zongzi (sticky-rice ball stuffed with different fillings and wrapped in bamboo leaves) and mooncakes to meet customer demand during Dragon Boat Festival and Mid-Autumn Festival, which are traditional Chinese holidays and respectively take place at the end of the second quarter and the beginning of the third quarter of a year. Whether the PRC Stores enter into a supply agreement with a third-party producer for a particular year depends on the selling records of seasonal products in previous years, their sales plan during that year, and the production capacity of the third-party producer.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transportation to the PRC Stores is carried out by their own transportation team. As of December 31, 2025, their transportation team had the capacity of transporting an aggregate of 22 tons of goods per transition. Depending on product features, the PRC Stores’ products are shipped at either room temperature, which is suitable for products that can be preserved at room temperature, or through cold-chain transportation, which is applied to semi-finished products such as frozen dough and desserts. The PRC Stores’ -32.8 degree Fahrenheit large freezer and their 323 square feet cold-storage facilities can adequately house the operation of cold-chain transportation.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Distribution Channels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PRC Stores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Stores consist of 63 stores in two cities of Xinjiang, namely Urumqi and Changji. Instead of franchising, our PRC subsidiary and the VIEs directly operate all of the PRC Stores because it allows them to exercise greater control over product quality, front-end sales, customer service quality, and overall shopping environment. This model also makes it easier to initiate transparent communication between our central management team and employees at the PRC Stores and to more efficiently manage our entire business operation in the PRC through the ERP System. Our subsidiary and the VIEs plan to continue operating the PRC Stores directly in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Digital Platforms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Stores operate an online store that is linked to the official account of the PRC Stores on WeChat and focuses on selling cakes. For the year ended December 31, 2025, the product sales made through the online store of the PRC Stores accounted for approximately 0.19% of their total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Stores list their bakery products on third-party online food ordering platforms such as Meituan-Dianping. Customers can order through these platforms, and pick up the bakery products ordered at the PRC Stores or have them delivered by the carriers of these platforms. For the years ended December 31, 2025, 2024, and 2023, the sales made through these third-party platforms accounted for approximately 16.62%, 8.26%, and 6.69% of our total sales,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Store Experience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Approximately 30 of the PRC Stores have seats, with an average capacity of approximately 5-10 guests. For further details on the size of each PRC Store, see “-Properties-Properties in the PRC.” The PRC Stores are generally open from 10:00 a.m. to 10:30 p.m. daily during the summer and from 10:30 a.m. to 11:00 p.m. during the winter, and benefit from a balanced sales mix across operating hours.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Membership and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Stores issue free membership cards that are rechargeable with cash in stores to encourage higher spending by customers and strengthen their loyalty to the PRC Stores’ brand. Both corporate and individual customers can get membership cards, add money onto the cards, and use them to purchase products in the PRC Stores. By using these membership cards, customers will enjoy benefits such as free cash vouchers that can be used to purchase products of the PRC Stores and 12% off original prices of all products on member day each week. Once a customer adds at least RMB200 (approximately $29) to a new membership card, the customer is counted as a member of the PRC Stores. As of December 31, 2025, the PRC Stores had approximately 779,948 members. For the years ended December 31, 2025, 2024, and 2023, the sales to members collectively accounted for 43.3%, 49.40%, and 51.47% of our total sales,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Individual customers of the PRC Stores come from a variety of age groups and social backgrounds. There are three methods for these individual customers to purchase products of the PRC Stores, namely, purchasing products at the stores with cash or credit cards, getting membership cards and using membership cards to make a purchase at the stores, and ordering the products on digital platforms and third-party platforms.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customers of the PRC Stores primarily get membership cards and purchase cash vouchers for products such as seasonal products, cakes, and birthday cakes as part of employment benefits for their employees. During the time of year around Mid-Autumn Festival and Dragon Boat Festival, the majority of customers of the PRC Stores buying seasonal products are corporate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bakery products market is highly fragmented, and competition in this market tends to be regionalized due to customers’ localized food preferences. Virtually all of the bakery products of the PRC Stores are sold in Xinjiang. The major competitors of the PRC Stores are international and domestic companies that produce and sell bakery products in Xinjiang, including Tous Les Jours, Vinesweet, Bakery Share, Lanzhou Aili’s Food Company Ltd., Maiquer Group Co., and BreadTalk Group Ltd. The PRC Stores compete for customers primarily on the basis of the price and quality of their products, food safety, brand awareness and loyalty, responsiveness to customer demand and market trends, customer experience, the ability to accurately estimate sales quota and control inventory, production capacity, and operation and management of chain stores.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Stores also potentially compete with bakery product manufacturers, such as Grupo Bimbo, S.A.B. de C.V., and Toly Bread Co., and bakery chain stores, such as Paris Baguette from Korea, Yamazaki Baking from Japan, and Holiland and Wedome, both of which are PRC based. Although none of the above enterprises have built a dominating presence in Xinjiang, the PRC Stores anticipate to directly compete with them when the PRC Stores expand to other regional markets in the PRC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U.S. Stores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Stores currently consist of three stores in New York City.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Chanson 23rd Street, which is located in New York City’s Flatiron District, operates Patisserie Chanson on the ground floor and Thyme Bar both on the ground floor and in the underground cellar. Patisserie Chanson was established in 2016 as a modern European-style café and eatery that specializes in the art of making French-style viennoiseries and pastries. With an open display array of innovative gourmet pastries and piquant coffee brews, Patisserie Chanson is committed to offering eat-in services and serving freshly prepared bakery products and extensive beverage products. Thyme Bar is a cocktail bar opened in February 2020, which features various to-go cocktails. Every drink on the opening menu was created with a sustainable and low-waste approach, repurposing waste from nearby restaurants, like coffee grounds from Patisserie Chanson. Thyme Bar was one of the first bars in New York City to pivot and offer to-go cocktails.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Chanson 3rd Ave, which is located in New York City’s Upper East Side, operates Patisserie Chanson (3rd Ave). Patisserie Chanson (3rd Ave) opened in March 2023 and serves freshly prepared bakery products and extensive beverage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Chanson Broadway, which is located in New York City’s Upper West Side, operates Patisserie Chanson (Broadway). Patisserie Chanson (Broadway) opened in July 2023 and serves freshly prepared bakery products and extensive beverage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Stores currently offer 53 types of eat-in menu items and bakery products, together with a large number of beverage products. The U.S. Stores make these products in the kitchen or bar of the store and serve them to eat-in customers or sell them in store. The U.S. Stores’ eat-in menu includes sandwiches, éclairs, tarts, cakes, cookies, croissants, and pastries. Their bestselling menu items include Jambon Eggs &amp; Cheese, Tomato Soup &amp; Grilled Cheese, and Crème Brûlée French Toast. The U.S. Stores’ selection of cakes, cookies, éclairs, tarts, bread, croissants, and pastries is now curated in partnership with premium outside purveyors, following the elimination of our in-house bakery and pastry teams. Their bestselling bakery products include Croissant au Beurre, Pain au Chocolat, and Almond Croissant. The U.S. Stores’ beverage products include coffee, tea, juice, soda, and cocktails, with the recent addition of mimosas and signature cocktails. Their bestselling beverage products include latte, cappuccino, and americano.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Store Design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Chanson 23rd Street has two floors with an aggregate size of approximately 3,900 square feet. Seating in Chanson 23rd Street is comprised of a combination of table seats and bar seats with a capacity of 40 guests.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Chanson Broadway has one floor with an aggregate size of approximately 850 square feet. Seating in Chanson Broadway is comprised of table seats with a capacity of ten guests.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further details on the U.S. Stores, see “-Properties-Properties in the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Dining and Shopping Experience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Stores offer a variety of dining and purchasing options. Customers can either grab their bakery products and beverage products for take-out or take a seat and stay longer for a relaxed and enjoyable eat-in experience. Chanson 23rd Street is currently providing indoor dining and delivery and pickup services from 8 a.m. to 5 p.m. from Tuesday to Sunday, and its bar is open from 6 p.m. to 2 a.m. from Tuesday to Sunday. Chanson 3rd Avenue is currently selling bakery and beverage products and provides delivery and pickup services from 8 a.m. to 6 p.m. from Tuesday to Sunday. Chanson Broadway is currently selling bakery and beverage products and provide delivery and pickup services from 8 a.m. to 6 p.m. from Tuesday to Sunday.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Stores offer delivery and pickup services within New York City (Manhattan and limited areas in Queens and Brooklyn). Customers may order grab-to-go sandwiches, breakfast, desserts, French pastries, brunch, and beverages via their website, patisseriechanson.us, and through third-party delivery partners, including Grubhub, Uber Eats, and Doordash. As of December 31, 2023, the transportation team of the U.S. Stores had a cargo van capable of transporting up to one ton of goods per transition per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U.S. Stores offer corporate catering services in the New York City area. Their corporate catering focuses on meetings and work celebrations, offering breakfast and lunch boxes, croissant platters, salads, parfaits, sandwiches, sweets, cakes, and beverages. For special events, the U.S. Stores can provide custom cakes with a company logo, personal monogramming, or custom flavors and colors.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derived from delivery, pickup, and catering services accounted for 10.8%, 13.2%, and 15.2% of the total revenue of the U.S. Stores for the years ended December 31, 2025, 2024, and 2023,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sales of the U.S. Stores are to individual customers and the U.S. Stores also supply bread and desserts to corporate customers, including coffee shops and cafes in New York City. The U.S. Stores generated 83.78%, 99.85%, and 100% of their revenue from sales to individual customers and 16.22%, 0.15%, and 0% from sales to corporate customers during the years ended December 31, 2025, 2024, and 2023,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York City bakery products and restaurant business markets are highly competitive and fragmented with a number of small to medium size manufacturers specializing in a wide variety of bakery products and restaurants. All of the products of the U.S. Stores are sold in New York City. Their major competitors are internationally and domestically renowned bakery chain-stores in New York City, including Paris Baguette and Le Pain Quotidien, and bakery product manufacturers including Grupo Bimbo, S.A.B. de C.V., and Toly Bread Co. In addition, the U.S. Stores face significant competition from a variety of locally owned restaurants and national chain restaurants offering bakery products, as well as take-out options from grocery stores. The U.S. Stores compete for customers primarily on the basis of price, quality, product differentiation, marketing strategies, and nutritional values.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Suppliers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Stores and the U.S. Stores carefully select suppliers based on product quality and authenticity, and they seek to develop long-term relationships with these suppliers. The PRC Stores and the U.S. Stores negotiate and manage supply arrangements separately.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Stores enter into supply agreements in the ordinary course of business with their suppliers, pursuant to a form of supply agreement typically for a one-year term. For some raw materials, such as butter, the suppliers provide a certain quantity of raw materials at a fixed price and deliver them separately based upon the needs of the PRC Stores; for other raw materials, such as eggs, the suppliers provide raw materials at prices determined when the PRC Stores place their orders. If the price of certain imported raw material is expected to rise, suppliers will provide a written notice to the PRC Stores at least one month in advance and the PRC Stores will then decide whether to order additional raw materials before the price increases. Suppliers deliver to the central factory of the PRC Stores approximately twice per week on Mondays and Fridays. After suppliers deliver, the payment per order is calculated based on the actual number of qualified products that meet the PRC Stores’ verification standards. Usually, the PRC Stores are given one to three months to complete the payment per order. Top suppliers of the PRC Stores during the year ended December 31, 2025 were Urumqi Zhixin Jiamei Commerce and Trade Co., Ltd. and Urumqi Yuxin Jiayuan Commerce and Trade Co., Ltd. Their supply constituted 10.6% and 8.7% of the PRC Stores’ total raw materials in terms of monetary value in that fiscal year, respectively. Top suppliers of the PRC Stores during the year ended December 31, 2024 were Urumqi Junxin Hongye Commerce and Trade Co., Ltd., Urumqi Zhixin Jiamei Commerce and Trade Co., Ltd., and Xinjiang Zhicheng Dingli Commerce and Trade Co., Ltd. Their supply constituted 15.30%, 14.02% and 9.10% of the PRC Stores’ total raw materials in terms of monetary value in that fiscal year, respectively. Top suppliers of the PRC Stores during the year ended December 31, 2023 were Urumqi Yuxin Jiayuan Commerce and Trade Co., Ltd., Urumqi Junxin Hongye Commerce and Trade Co., Ltd., Xinjiang Meishifu Food Co., Ltd. (“Meishifu”), and Pengcheng Fruit Company. Their supply constituted 11.93%, 6.85%, 6.27%, and 6.05% of the PRC Stores’ total raw materials in terms of monetary value in that fiscal year,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Stores order raw materials from suppliers based on their needs, instead of entering into long-term supply agreements with their suppliers. The U.S. Stores are able to ensure consistent delivery and competitive pricing because of their long-term business relationships with these suppliers. Suppliers of sugar and flour deliver to the U.S. Stores weekly and suppliers of vegetables and fruits do so daily. Top suppliers of the U.S. Stores during the year ended December 31, 2025 were Baldor Specialty Foods Inc, Pain D Avignon and Anntremet Cake. Their supply constituted 16.11%, 13.87% and 12.51% of the U.S. Stores’ total raw materials in terms of monetary value in that fiscal year, respectively. Top suppliers of the U.S. Stores during the year ended December 31, 2024 were Baldor Specialty Foods Inc, Pain D Avignon and Éclair. Their supply constituted 17.983%,15.65% and 18.33%% of the U.S. Stores’ total raw materials in terms of monetary value in that fiscal year, respectively. Top suppliers of the U.S. Stores during the year ended December 31, 2023 were Baldor Specialty Foods, Inc. (“Baldor”), Southern Glazers of NY Metro, and The Chefs’ Warehouse. Their supply constituted 28%, 12%, and 13% of the U.S. Stores’ total raw materials in terms of monetary value in that fiscal year,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Food Safety</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Food safety is essential to the success of the PRC Stores and the U.S. Stores and they have established procedures to help ensure that their customers enjoy safe and quality food.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procurement of raw materials, the procurement team and compliance team of the PRC Stores and the U.S. Stores evaluate the quality and applicability of the submitted samples of raw materials, as well as suppliers’ capability to meet deadlines. They re-evaluate those suppliers who the PRC Stores and the U.S. Stores have previously collaborated with on a yearly basis to meet the changing production needs. For suppliers who add additives into the products they supply to the PRC Stores or the U.S. Stores, the PRC Stores and the U.S. Stores require them to warrant that additives in their products comply with food safety requirements and standards according to relevant laws and regulations. The PRC Stores and the U.S. Stores also periodically examine the freshness of all raw materials and make sure that their storage conditions are properly to preserve freshness of raw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actual production, the PRC Stores and the U.S. Stores have designed and applied rigorous standards and requirements to oversee product formulas, product craftsmanship, and production process. They also regularly organize mandatory firm-wide trainings to teach their employees appropriate ways of applying food safety measures in different scenarios and to enhance awareness and understanding of food safety as a whole. Without the approval of training managers, employees cannot work on production lines or in kitchens. The quality-control team of the PRC Stores and the U.S. Stores also analyze production sectors that may influence product quality and safety, formulating corresponding methods to prevent potential negative effects. Before transporting or selling their products, the PRC Stores and the U.S. Stores conduct strict final examination on those products according to food industry standards to ensure that their products have high quality and are safe to consume.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Stores and the U.S. Stores only sell their bakery products on the day when these products are made and their light meals and beverage products on a made-to-order basis, and they make sure that any unsold or leftover products and unused semi-finished products are promptly disposed of, so as to offer their customers the freshest products that conform to stringent food safety standards on a day-to-day basis. The PRC Stores and the U.S. Stores have also established systematic and efficient procedures to swiftly recall any product that imposes potential or existing food safety issues to their customers. As of the date of this annual report, the PRC Stores and the U.S. Stores have never had to recall any product. To further improve their quality and safety control, the PRC Stores and the U.S. Stores conduct periodic customer satisfaction surveys to learn about customers’ needs and quality of the products from the customers’ perspectives.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Inventory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Stores and central factory have established policies and management procedures and formed a group of specialists to supervise employees working in the inventory team and to review their job performance. These specialists also design emergency plans to deal with critical circumstances under which inventory runs extremely low and conduct monthly reviews to assess differences between inventory accounts and actual amount of remaining inventory through the ERP System. By using an information and expertise-based management method, we are confident that the PRC Stores can effectively reduce costs and production waste.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packaged bakery products, the PRC Stores generally adopt a sale-history based method to estimate production quota because it allows the PRC Stores to effectively address the short-lived feature of bakery products, to ensure their customers are presented with fresh bakery products, to maintain flexibility in production planning, and to strengthen their ability to effectively reduce inventory;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their made-in-store pastries and birthday cakes, the PRC Stores alternatively adopt a method that combines sale-history based quota estimation and in-time demand. In addition to delivering a certain number of semi-finished products to the stores, the PRC Stores also deliver raw materials to the stores, so store employees can make extra cakes or further decorate delivered cakes if there is excessive or special customer demand on a particular day.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U.S. Stores, the store manager or head chef generally determines the amount of raw materials to be ordered on a weekly or daily basis based on his or her experience and recent sales trends of their products. The U.S. Stores usually keep inventories low and rely on in-time deliveries from suppliers. The U.S. Stores take stock of their inventory at the end of each month to understand the amount of raw material used.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Marketing and Sale Strategies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Pricing and Discounting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Stores and the U.S. Stores determine their product prices on the basis of various factors, including the consumption power of their targeted customer groups, market demand for specific products, product cost, prices of competitive products, and the macroeconomic environment. Such method gives the PRC Stores and the U.S. Stores the space to change prices flexibly if circumstances require them to do so and allows them to better respond to customers’ changing sensitivity to price. This advantageous approach has allowed the PRC Stores and the U.S. Stores, and, we expect will continue, to attract more customers and reinforce and further expand brand loyalty. The PRC Stores and the U.S. Stores plan to further refine their calculation formula to ensure that their product prices accurately and cautiously take into consideration both existing and potential market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periodic basis, the PRC Stores and the U.S. Stores design and execute discounting strategies to stimulate sales. The PRC Stores and the U.S. Stores have effectively adopted a number of discounting strategies, including: in the PRC Stores, (i) a member day on which members enjoy 12% off original prices of all products each week, (ii) discounting activities on third-party online food ordering platforms, and (iii) discounting benefits enjoyable only through using credit cards issued by Shanghai Pudong Development Bank Co., Ltd; in Chanson 23rd Street, (i) Seasonal Combo ($16) : Any Sandwich + Any Hot Barista Drink + Any Macaron (1 piece), (ii) 50% off on all desserts after 3 p.m. on Wednesday, Friday and Sunday to help reduce waste and increase foot traffic, and (iii) 20% off on the first catering order, (iv) discounts to employees of nearby corporations and (v) 20% off first catering order if order through the Patisserie Chanson App.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Social Media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Stores and the U.S. Stores enhance publicity of their products and the effectiveness of their other marketing strategies on major Chinese and U.S. social media platforms and their own websites.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Stores operate official accounts on WeChat, Weibo, and Douyin, which had an aggregate of over 87,000 followers as of December 31, 2025, and regularly post information of their new products, discounting activities, and brand development there.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Stores operate ten official accounts across different brands and social media platforms (Instagram, Facebook &amp; TikTok), which had over 31,200 followers in total, as of December 31, 2025. Overall impressions across all social media platforms have consistently averaged 300,000 per month throughout. The U.S. Stores regularly post pictures and short videos of their stores and products with detailed information about their new products and promotion activities to attract potential customers and promote their image as a modern European-style café and eatery.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2019, the U.S. Stores have partnered with Aranka Media Enterprise, a full-service media agency, to accelerate brand growth and improve customer relationships. Aranka Media Enterprise oversees the U.S. Stores’ media strategy and entire online presence, including their presence on digital booking systems, delivery platforms, and social media. Aranka Media Enterprise also implements data collection systems to provide sales reports and market analyses, which help the U.S. Stores discover new consumer trends and optimize physical storefront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Properties in the PRC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our headquarters and the central factory of the PRC Stores in Urumqi, Xinjiang.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 Premises Use Agreement dated April 30, 2020 and a Supplemental Agreement dated June 18, 2020, Urumqi Plastic Surgery Hospital Co., Ltd., a PRC company controlled by our Chairman, Mr. Gang Li, provided approximately 5,382 square feet office space for our headquarters without charge. The term of the agreement is from January 1, 2020 to June 25, 2028, unless otherwise terminated by either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2021, Xinjiang United Family entered into a lease agreement for approximately 54,638 square feet of building space for the central factory. The term of the lease agreement is from June 15, 2021 to June 14, 2031, unless otherwise terminated by either party. Xinjiang United Family is required to notify the landlord in advance within 90 days prior to the end of the lease term if it would like to renew the lease agreement. The central factory is designed to have an annual production capacity of bakery products, seasonal products, and beverage products worth (on the raw cost basis) RMB150 million. We have put the bakery production line of the central factory int operation. The investment budget for the bakery production line of the central factory is approximately RMB16.1 million (approximately $2.2 million) after VAT deduction. As of December 31, 2025, we had spent approximately RMB15.9 million (approximately $2.18 million), and the future minimum expenditure is estimated to be RMB200,000 (approximately $29,320). Xinjiang United Family plans to use cash flow from the operations of the PRC Stores to fund the future construction. For additional information on our past and expected capital expenditures on the central factory, see “Item 5. Operating and Financial Review and Prospects-B. 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PRC subsidiary and the VIEs currently operate 63 stores in Xinjiang. Our PRC subsidiary and the VIEs lease all these store spaces from third-party individuals and corporations, except that the store space of Wenhua is provided by Urumqi Plastic Surgery Hospital Co., Ltd., pursuant to a Premises Use Agreement and a Supplemental Agreement without charge.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information of the 63 PRC Stores and three U.S. Stores in operation as of the date of this annual report: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90"/>
        <w:gridCol w:w="3522"/>
        <w:gridCol w:w="90"/>
        <w:gridCol w:w="1707"/>
        <w:gridCol w:w="90"/>
        <w:gridCol w:w="4431"/>
      </w:tblGrid>
      <w:tr>
        <w:trPr/>
        <w:tc>
          <w:tcPr>
            <w:tcW w:w="2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3522"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Legal Name of Entity</w:t>
            </w:r>
          </w:p>
        </w:tc>
        <w:tc>
          <w:tcPr>
            <w:tcW w:w="90" w:type="dxa"/>
            <w:tcBorders/>
            <w:vAlign w:val="center"/>
          </w:tcPr>
          <w:p>
            <w:pPr>
              <w:pStyle w:val="TableContents"/>
              <w:bidi w:val="0"/>
              <w:spacing w:before="0" w:after="283"/>
              <w:jc w:val="center"/>
              <w:rPr/>
            </w:pPr>
            <w:r>
              <w:rPr/>
              <w:t> </w:t>
            </w:r>
          </w:p>
        </w:tc>
        <w:tc>
          <w:tcPr>
            <w:tcW w:w="1707"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Commercial Name</w:t>
            </w:r>
          </w:p>
        </w:tc>
        <w:tc>
          <w:tcPr>
            <w:tcW w:w="90" w:type="dxa"/>
            <w:tcBorders/>
            <w:vAlign w:val="center"/>
          </w:tcPr>
          <w:p>
            <w:pPr>
              <w:pStyle w:val="TableContents"/>
              <w:bidi w:val="0"/>
              <w:spacing w:before="0" w:after="283"/>
              <w:jc w:val="center"/>
              <w:rPr/>
            </w:pPr>
            <w:r>
              <w:rPr/>
              <w:t> </w:t>
            </w:r>
          </w:p>
        </w:tc>
        <w:tc>
          <w:tcPr>
            <w:tcW w:w="4431"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Nature of Entity</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0" w:type="dxa"/>
            <w:tcBorders/>
            <w:shd w:fill="CCEEFF" w:val="clear"/>
            <w:vAlign w:val="center"/>
          </w:tcPr>
          <w:p>
            <w:pPr>
              <w:pStyle w:val="TableContents"/>
              <w:bidi w:val="0"/>
              <w:spacing w:before="0" w:after="283"/>
              <w:jc w:val="left"/>
              <w:rPr/>
            </w:pPr>
            <w:r>
              <w:rPr/>
              <w:t> </w:t>
            </w:r>
          </w:p>
        </w:tc>
        <w:tc>
          <w:tcPr>
            <w:tcW w:w="35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Urumqi Midong District George Chanson Bakery</w:t>
            </w:r>
          </w:p>
        </w:tc>
        <w:tc>
          <w:tcPr>
            <w:tcW w:w="90" w:type="dxa"/>
            <w:tcBorders/>
            <w:shd w:fill="CCEEFF" w:val="clear"/>
            <w:vAlign w:val="center"/>
          </w:tcPr>
          <w:p>
            <w:pPr>
              <w:pStyle w:val="TableContents"/>
              <w:bidi w:val="0"/>
              <w:spacing w:before="0" w:after="283"/>
              <w:jc w:val="left"/>
              <w:rPr/>
            </w:pPr>
            <w:r>
              <w:rPr/>
              <w:t> </w:t>
            </w:r>
          </w:p>
        </w:tc>
        <w:tc>
          <w:tcPr>
            <w:tcW w:w="170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Midong</w:t>
            </w:r>
          </w:p>
        </w:tc>
        <w:tc>
          <w:tcPr>
            <w:tcW w:w="90" w:type="dxa"/>
            <w:tcBorders/>
            <w:shd w:fill="CCEEFF" w:val="clear"/>
            <w:vAlign w:val="center"/>
          </w:tcPr>
          <w:p>
            <w:pPr>
              <w:pStyle w:val="TableContents"/>
              <w:bidi w:val="0"/>
              <w:spacing w:before="0" w:after="283"/>
              <w:jc w:val="left"/>
              <w:rPr/>
            </w:pPr>
            <w:r>
              <w:rPr/>
              <w:t> </w:t>
            </w:r>
          </w:p>
        </w:tc>
        <w:tc>
          <w:tcPr>
            <w:tcW w:w="4431"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 of UFG – owned 100% by Mr. Gang Li and operated under VIE agreements among Mr. Gang Li, this entity, and Xinjiang United Family</w:t>
            </w:r>
          </w:p>
        </w:tc>
      </w:tr>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0" w:type="dxa"/>
            <w:tcBorders/>
            <w:vAlign w:val="center"/>
          </w:tcPr>
          <w:p>
            <w:pPr>
              <w:pStyle w:val="TableContents"/>
              <w:bidi w:val="0"/>
              <w:spacing w:before="0" w:after="283"/>
              <w:ind w:left="0" w:right="0" w:hanging="180"/>
              <w:jc w:val="left"/>
              <w:rPr/>
            </w:pPr>
            <w:r>
              <w:rPr/>
              <w:t> </w:t>
            </w:r>
          </w:p>
        </w:tc>
        <w:tc>
          <w:tcPr>
            <w:tcW w:w="35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Shayibake District Yining Rd. George Chanson Bakery</w:t>
            </w:r>
          </w:p>
        </w:tc>
        <w:tc>
          <w:tcPr>
            <w:tcW w:w="90" w:type="dxa"/>
            <w:tcBorders/>
            <w:vAlign w:val="center"/>
          </w:tcPr>
          <w:p>
            <w:pPr>
              <w:pStyle w:val="TableContents"/>
              <w:bidi w:val="0"/>
              <w:spacing w:before="0" w:after="283"/>
              <w:jc w:val="left"/>
              <w:rPr/>
            </w:pPr>
            <w:r>
              <w:rPr/>
              <w:t> </w:t>
            </w:r>
          </w:p>
        </w:tc>
        <w:tc>
          <w:tcPr>
            <w:tcW w:w="17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Dehui Wanda</w:t>
            </w:r>
          </w:p>
        </w:tc>
        <w:tc>
          <w:tcPr>
            <w:tcW w:w="90" w:type="dxa"/>
            <w:tcBorders/>
            <w:vAlign w:val="center"/>
          </w:tcPr>
          <w:p>
            <w:pPr>
              <w:pStyle w:val="TableContents"/>
              <w:bidi w:val="0"/>
              <w:spacing w:before="0" w:after="283"/>
              <w:jc w:val="left"/>
              <w:rPr/>
            </w:pPr>
            <w:r>
              <w:rPr/>
              <w:t> </w:t>
            </w:r>
          </w:p>
        </w:tc>
        <w:tc>
          <w:tcPr>
            <w:tcW w:w="44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0" w:type="dxa"/>
            <w:tcBorders/>
            <w:shd w:fill="CCEEFF" w:val="clear"/>
            <w:vAlign w:val="center"/>
          </w:tcPr>
          <w:p>
            <w:pPr>
              <w:pStyle w:val="TableContents"/>
              <w:bidi w:val="0"/>
              <w:spacing w:before="0" w:after="283"/>
              <w:jc w:val="left"/>
              <w:rPr/>
            </w:pPr>
            <w:r>
              <w:rPr/>
              <w:t> </w:t>
            </w:r>
          </w:p>
        </w:tc>
        <w:tc>
          <w:tcPr>
            <w:tcW w:w="35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Changji George Chanson Bakery</w:t>
            </w:r>
          </w:p>
        </w:tc>
        <w:tc>
          <w:tcPr>
            <w:tcW w:w="90" w:type="dxa"/>
            <w:tcBorders/>
            <w:shd w:fill="CCEEFF" w:val="clear"/>
            <w:vAlign w:val="center"/>
          </w:tcPr>
          <w:p>
            <w:pPr>
              <w:pStyle w:val="TableContents"/>
              <w:bidi w:val="0"/>
              <w:spacing w:before="0" w:after="283"/>
              <w:jc w:val="left"/>
              <w:rPr/>
            </w:pPr>
            <w:r>
              <w:rPr/>
              <w:t> </w:t>
            </w:r>
          </w:p>
        </w:tc>
        <w:tc>
          <w:tcPr>
            <w:tcW w:w="170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Changji Huijia</w:t>
            </w:r>
          </w:p>
        </w:tc>
        <w:tc>
          <w:tcPr>
            <w:tcW w:w="90" w:type="dxa"/>
            <w:tcBorders/>
            <w:shd w:fill="CCEEFF" w:val="clear"/>
            <w:vAlign w:val="center"/>
          </w:tcPr>
          <w:p>
            <w:pPr>
              <w:pStyle w:val="TableContents"/>
              <w:bidi w:val="0"/>
              <w:spacing w:before="0" w:after="283"/>
              <w:jc w:val="left"/>
              <w:rPr/>
            </w:pPr>
            <w:r>
              <w:rPr/>
              <w:t> </w:t>
            </w:r>
          </w:p>
        </w:tc>
        <w:tc>
          <w:tcPr>
            <w:tcW w:w="443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0" w:type="dxa"/>
            <w:tcBorders/>
            <w:vAlign w:val="center"/>
          </w:tcPr>
          <w:p>
            <w:pPr>
              <w:pStyle w:val="TableContents"/>
              <w:bidi w:val="0"/>
              <w:spacing w:before="0" w:after="283"/>
              <w:jc w:val="left"/>
              <w:rPr/>
            </w:pPr>
            <w:r>
              <w:rPr/>
              <w:t> </w:t>
            </w:r>
          </w:p>
        </w:tc>
        <w:tc>
          <w:tcPr>
            <w:tcW w:w="35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Tianshan District Xinhua North Rd. George Chanson Bakery</w:t>
            </w:r>
          </w:p>
        </w:tc>
        <w:tc>
          <w:tcPr>
            <w:tcW w:w="90" w:type="dxa"/>
            <w:tcBorders/>
            <w:vAlign w:val="center"/>
          </w:tcPr>
          <w:p>
            <w:pPr>
              <w:pStyle w:val="TableContents"/>
              <w:bidi w:val="0"/>
              <w:spacing w:before="0" w:after="283"/>
              <w:jc w:val="left"/>
              <w:rPr/>
            </w:pPr>
            <w:r>
              <w:rPr/>
              <w:t> </w:t>
            </w:r>
          </w:p>
        </w:tc>
        <w:tc>
          <w:tcPr>
            <w:tcW w:w="17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Hongshan</w:t>
            </w:r>
          </w:p>
        </w:tc>
        <w:tc>
          <w:tcPr>
            <w:tcW w:w="90" w:type="dxa"/>
            <w:tcBorders/>
            <w:vAlign w:val="center"/>
          </w:tcPr>
          <w:p>
            <w:pPr>
              <w:pStyle w:val="TableContents"/>
              <w:bidi w:val="0"/>
              <w:spacing w:before="0" w:after="283"/>
              <w:jc w:val="left"/>
              <w:rPr/>
            </w:pPr>
            <w:r>
              <w:rPr/>
              <w:t> </w:t>
            </w:r>
          </w:p>
        </w:tc>
        <w:tc>
          <w:tcPr>
            <w:tcW w:w="44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0" w:type="dxa"/>
            <w:tcBorders/>
            <w:shd w:fill="CCEEFF" w:val="clear"/>
            <w:vAlign w:val="center"/>
          </w:tcPr>
          <w:p>
            <w:pPr>
              <w:pStyle w:val="TableContents"/>
              <w:bidi w:val="0"/>
              <w:spacing w:before="0" w:after="283"/>
              <w:jc w:val="left"/>
              <w:rPr/>
            </w:pPr>
            <w:r>
              <w:rPr/>
              <w:t> </w:t>
            </w:r>
          </w:p>
        </w:tc>
        <w:tc>
          <w:tcPr>
            <w:tcW w:w="35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Tianshan District Xinmin Rd. George Chanson Bakery</w:t>
            </w:r>
          </w:p>
        </w:tc>
        <w:tc>
          <w:tcPr>
            <w:tcW w:w="90" w:type="dxa"/>
            <w:tcBorders/>
            <w:shd w:fill="CCEEFF" w:val="clear"/>
            <w:vAlign w:val="center"/>
          </w:tcPr>
          <w:p>
            <w:pPr>
              <w:pStyle w:val="TableContents"/>
              <w:bidi w:val="0"/>
              <w:spacing w:before="0" w:after="283"/>
              <w:jc w:val="left"/>
              <w:rPr/>
            </w:pPr>
            <w:r>
              <w:rPr/>
              <w:t> </w:t>
            </w:r>
          </w:p>
        </w:tc>
        <w:tc>
          <w:tcPr>
            <w:tcW w:w="170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Beimen</w:t>
            </w:r>
          </w:p>
        </w:tc>
        <w:tc>
          <w:tcPr>
            <w:tcW w:w="90" w:type="dxa"/>
            <w:tcBorders/>
            <w:shd w:fill="CCEEFF" w:val="clear"/>
            <w:vAlign w:val="center"/>
          </w:tcPr>
          <w:p>
            <w:pPr>
              <w:pStyle w:val="TableContents"/>
              <w:bidi w:val="0"/>
              <w:spacing w:before="0" w:after="283"/>
              <w:jc w:val="left"/>
              <w:rPr/>
            </w:pPr>
            <w:r>
              <w:rPr/>
              <w:t> </w:t>
            </w:r>
          </w:p>
        </w:tc>
        <w:tc>
          <w:tcPr>
            <w:tcW w:w="443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0" w:type="dxa"/>
            <w:tcBorders/>
            <w:vAlign w:val="center"/>
          </w:tcPr>
          <w:p>
            <w:pPr>
              <w:pStyle w:val="TableContents"/>
              <w:bidi w:val="0"/>
              <w:spacing w:before="0" w:after="283"/>
              <w:jc w:val="left"/>
              <w:rPr/>
            </w:pPr>
            <w:r>
              <w:rPr/>
              <w:t> </w:t>
            </w:r>
          </w:p>
        </w:tc>
        <w:tc>
          <w:tcPr>
            <w:tcW w:w="35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Tianshan District Minzhu Rd. George Chanson Bakery</w:t>
            </w:r>
          </w:p>
        </w:tc>
        <w:tc>
          <w:tcPr>
            <w:tcW w:w="90" w:type="dxa"/>
            <w:tcBorders/>
            <w:vAlign w:val="center"/>
          </w:tcPr>
          <w:p>
            <w:pPr>
              <w:pStyle w:val="TableContents"/>
              <w:bidi w:val="0"/>
              <w:spacing w:before="0" w:after="283"/>
              <w:jc w:val="left"/>
              <w:rPr/>
            </w:pPr>
            <w:r>
              <w:rPr/>
              <w:t> </w:t>
            </w:r>
          </w:p>
        </w:tc>
        <w:tc>
          <w:tcPr>
            <w:tcW w:w="17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Minzhu</w:t>
            </w:r>
          </w:p>
        </w:tc>
        <w:tc>
          <w:tcPr>
            <w:tcW w:w="90" w:type="dxa"/>
            <w:tcBorders/>
            <w:vAlign w:val="center"/>
          </w:tcPr>
          <w:p>
            <w:pPr>
              <w:pStyle w:val="TableContents"/>
              <w:bidi w:val="0"/>
              <w:spacing w:before="0" w:after="283"/>
              <w:jc w:val="left"/>
              <w:rPr/>
            </w:pPr>
            <w:r>
              <w:rPr/>
              <w:t> </w:t>
            </w:r>
          </w:p>
        </w:tc>
        <w:tc>
          <w:tcPr>
            <w:tcW w:w="44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0" w:type="dxa"/>
            <w:tcBorders/>
            <w:shd w:fill="CCEEFF" w:val="clear"/>
            <w:vAlign w:val="center"/>
          </w:tcPr>
          <w:p>
            <w:pPr>
              <w:pStyle w:val="TableContents"/>
              <w:bidi w:val="0"/>
              <w:spacing w:before="0" w:after="283"/>
              <w:jc w:val="left"/>
              <w:rPr/>
            </w:pPr>
            <w:r>
              <w:rPr/>
              <w:t> </w:t>
            </w:r>
          </w:p>
        </w:tc>
        <w:tc>
          <w:tcPr>
            <w:tcW w:w="35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Tianshan District Jianquan No.3 Rd. George Chanson Bakery</w:t>
            </w:r>
          </w:p>
        </w:tc>
        <w:tc>
          <w:tcPr>
            <w:tcW w:w="90" w:type="dxa"/>
            <w:tcBorders/>
            <w:shd w:fill="CCEEFF" w:val="clear"/>
            <w:vAlign w:val="center"/>
          </w:tcPr>
          <w:p>
            <w:pPr>
              <w:pStyle w:val="TableContents"/>
              <w:bidi w:val="0"/>
              <w:spacing w:before="0" w:after="283"/>
              <w:jc w:val="left"/>
              <w:rPr/>
            </w:pPr>
            <w:r>
              <w:rPr/>
              <w:t> </w:t>
            </w:r>
          </w:p>
        </w:tc>
        <w:tc>
          <w:tcPr>
            <w:tcW w:w="170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Riyue Xingguang</w:t>
            </w:r>
          </w:p>
        </w:tc>
        <w:tc>
          <w:tcPr>
            <w:tcW w:w="90" w:type="dxa"/>
            <w:tcBorders/>
            <w:shd w:fill="CCEEFF" w:val="clear"/>
            <w:vAlign w:val="center"/>
          </w:tcPr>
          <w:p>
            <w:pPr>
              <w:pStyle w:val="TableContents"/>
              <w:bidi w:val="0"/>
              <w:spacing w:before="0" w:after="283"/>
              <w:jc w:val="left"/>
              <w:rPr/>
            </w:pPr>
            <w:r>
              <w:rPr/>
              <w:t> </w:t>
            </w:r>
          </w:p>
        </w:tc>
        <w:tc>
          <w:tcPr>
            <w:tcW w:w="443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0" w:type="dxa"/>
            <w:tcBorders/>
            <w:vAlign w:val="center"/>
          </w:tcPr>
          <w:p>
            <w:pPr>
              <w:pStyle w:val="TableContents"/>
              <w:bidi w:val="0"/>
              <w:spacing w:before="0" w:after="283"/>
              <w:jc w:val="left"/>
              <w:rPr/>
            </w:pPr>
            <w:r>
              <w:rPr/>
              <w:t> </w:t>
            </w:r>
          </w:p>
        </w:tc>
        <w:tc>
          <w:tcPr>
            <w:tcW w:w="35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Tianshan District Jiefang North Rd. George Chanson Bakery</w:t>
            </w:r>
          </w:p>
        </w:tc>
        <w:tc>
          <w:tcPr>
            <w:tcW w:w="90" w:type="dxa"/>
            <w:tcBorders/>
            <w:vAlign w:val="center"/>
          </w:tcPr>
          <w:p>
            <w:pPr>
              <w:pStyle w:val="TableContents"/>
              <w:bidi w:val="0"/>
              <w:spacing w:before="0" w:after="283"/>
              <w:jc w:val="left"/>
              <w:rPr/>
            </w:pPr>
            <w:r>
              <w:rPr/>
              <w:t> </w:t>
            </w:r>
          </w:p>
        </w:tc>
        <w:tc>
          <w:tcPr>
            <w:tcW w:w="17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Wanyancheng</w:t>
            </w:r>
          </w:p>
        </w:tc>
        <w:tc>
          <w:tcPr>
            <w:tcW w:w="90" w:type="dxa"/>
            <w:tcBorders/>
            <w:vAlign w:val="center"/>
          </w:tcPr>
          <w:p>
            <w:pPr>
              <w:pStyle w:val="TableContents"/>
              <w:bidi w:val="0"/>
              <w:spacing w:before="0" w:after="283"/>
              <w:jc w:val="left"/>
              <w:rPr/>
            </w:pPr>
            <w:r>
              <w:rPr/>
              <w:t> </w:t>
            </w:r>
          </w:p>
        </w:tc>
        <w:tc>
          <w:tcPr>
            <w:tcW w:w="44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90" w:type="dxa"/>
            <w:tcBorders/>
            <w:shd w:fill="CCEEFF" w:val="clear"/>
            <w:vAlign w:val="center"/>
          </w:tcPr>
          <w:p>
            <w:pPr>
              <w:pStyle w:val="TableContents"/>
              <w:bidi w:val="0"/>
              <w:spacing w:before="0" w:after="283"/>
              <w:jc w:val="left"/>
              <w:rPr/>
            </w:pPr>
            <w:r>
              <w:rPr/>
              <w:t> </w:t>
            </w:r>
          </w:p>
        </w:tc>
        <w:tc>
          <w:tcPr>
            <w:tcW w:w="35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Urumqi Economics and Technology Development District George Chanson Bakery on Kashi West Rd. </w:t>
            </w:r>
          </w:p>
        </w:tc>
        <w:tc>
          <w:tcPr>
            <w:tcW w:w="90" w:type="dxa"/>
            <w:tcBorders/>
            <w:shd w:fill="CCEEFF" w:val="clear"/>
            <w:vAlign w:val="center"/>
          </w:tcPr>
          <w:p>
            <w:pPr>
              <w:pStyle w:val="TableContents"/>
              <w:bidi w:val="0"/>
              <w:spacing w:before="0" w:after="283"/>
              <w:jc w:val="left"/>
              <w:rPr/>
            </w:pPr>
            <w:r>
              <w:rPr/>
              <w:t> </w:t>
            </w:r>
          </w:p>
        </w:tc>
        <w:tc>
          <w:tcPr>
            <w:tcW w:w="170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Huarun Wanjia</w:t>
            </w:r>
          </w:p>
        </w:tc>
        <w:tc>
          <w:tcPr>
            <w:tcW w:w="90" w:type="dxa"/>
            <w:tcBorders/>
            <w:shd w:fill="CCEEFF" w:val="clear"/>
            <w:vAlign w:val="center"/>
          </w:tcPr>
          <w:p>
            <w:pPr>
              <w:pStyle w:val="TableContents"/>
              <w:bidi w:val="0"/>
              <w:spacing w:before="0" w:after="283"/>
              <w:jc w:val="left"/>
              <w:rPr/>
            </w:pPr>
            <w:r>
              <w:rPr/>
              <w:t> </w:t>
            </w:r>
          </w:p>
        </w:tc>
        <w:tc>
          <w:tcPr>
            <w:tcW w:w="443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90" w:type="dxa"/>
            <w:tcBorders/>
            <w:vAlign w:val="center"/>
          </w:tcPr>
          <w:p>
            <w:pPr>
              <w:pStyle w:val="TableContents"/>
              <w:bidi w:val="0"/>
              <w:spacing w:before="0" w:after="283"/>
              <w:jc w:val="left"/>
              <w:rPr/>
            </w:pPr>
            <w:r>
              <w:rPr/>
              <w:t> </w:t>
            </w:r>
          </w:p>
        </w:tc>
        <w:tc>
          <w:tcPr>
            <w:tcW w:w="35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Xinshi District Changchun South Rd. George Chanson Bakery</w:t>
            </w:r>
          </w:p>
        </w:tc>
        <w:tc>
          <w:tcPr>
            <w:tcW w:w="90" w:type="dxa"/>
            <w:tcBorders/>
            <w:vAlign w:val="center"/>
          </w:tcPr>
          <w:p>
            <w:pPr>
              <w:pStyle w:val="TableContents"/>
              <w:bidi w:val="0"/>
              <w:spacing w:before="0" w:after="283"/>
              <w:jc w:val="left"/>
              <w:rPr/>
            </w:pPr>
            <w:r>
              <w:rPr/>
              <w:t> </w:t>
            </w:r>
          </w:p>
        </w:tc>
        <w:tc>
          <w:tcPr>
            <w:tcW w:w="17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Changchun Road</w:t>
            </w:r>
          </w:p>
        </w:tc>
        <w:tc>
          <w:tcPr>
            <w:tcW w:w="90" w:type="dxa"/>
            <w:tcBorders/>
            <w:vAlign w:val="center"/>
          </w:tcPr>
          <w:p>
            <w:pPr>
              <w:pStyle w:val="TableContents"/>
              <w:bidi w:val="0"/>
              <w:spacing w:before="0" w:after="283"/>
              <w:jc w:val="left"/>
              <w:rPr/>
            </w:pPr>
            <w:r>
              <w:rPr/>
              <w:t> </w:t>
            </w:r>
          </w:p>
        </w:tc>
        <w:tc>
          <w:tcPr>
            <w:tcW w:w="44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90" w:type="dxa"/>
            <w:tcBorders/>
            <w:shd w:fill="CCEEFF" w:val="clear"/>
            <w:vAlign w:val="center"/>
          </w:tcPr>
          <w:p>
            <w:pPr>
              <w:pStyle w:val="TableContents"/>
              <w:bidi w:val="0"/>
              <w:spacing w:before="0" w:after="283"/>
              <w:jc w:val="left"/>
              <w:rPr/>
            </w:pPr>
            <w:r>
              <w:rPr/>
              <w:t> </w:t>
            </w:r>
          </w:p>
        </w:tc>
        <w:tc>
          <w:tcPr>
            <w:tcW w:w="35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Xinshi District Beijing Middle Rd. United Family Chanson Bakery</w:t>
            </w:r>
          </w:p>
        </w:tc>
        <w:tc>
          <w:tcPr>
            <w:tcW w:w="90" w:type="dxa"/>
            <w:tcBorders/>
            <w:shd w:fill="CCEEFF" w:val="clear"/>
            <w:vAlign w:val="center"/>
          </w:tcPr>
          <w:p>
            <w:pPr>
              <w:pStyle w:val="TableContents"/>
              <w:bidi w:val="0"/>
              <w:spacing w:before="0" w:after="283"/>
              <w:jc w:val="left"/>
              <w:rPr/>
            </w:pPr>
            <w:r>
              <w:rPr/>
              <w:t> </w:t>
            </w:r>
          </w:p>
        </w:tc>
        <w:tc>
          <w:tcPr>
            <w:tcW w:w="170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Huijia Third Floor</w:t>
            </w:r>
          </w:p>
        </w:tc>
        <w:tc>
          <w:tcPr>
            <w:tcW w:w="90" w:type="dxa"/>
            <w:tcBorders/>
            <w:shd w:fill="CCEEFF" w:val="clear"/>
            <w:vAlign w:val="center"/>
          </w:tcPr>
          <w:p>
            <w:pPr>
              <w:pStyle w:val="TableContents"/>
              <w:bidi w:val="0"/>
              <w:spacing w:before="0" w:after="283"/>
              <w:jc w:val="left"/>
              <w:rPr/>
            </w:pPr>
            <w:r>
              <w:rPr/>
              <w:t> </w:t>
            </w:r>
          </w:p>
        </w:tc>
        <w:tc>
          <w:tcPr>
            <w:tcW w:w="443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Same as above </w:t>
            </w:r>
          </w:p>
        </w:tc>
      </w:tr>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90" w:type="dxa"/>
            <w:tcBorders/>
            <w:vAlign w:val="center"/>
          </w:tcPr>
          <w:p>
            <w:pPr>
              <w:pStyle w:val="TableContents"/>
              <w:bidi w:val="0"/>
              <w:spacing w:before="0" w:after="283"/>
              <w:jc w:val="left"/>
              <w:rPr/>
            </w:pPr>
            <w:r>
              <w:rPr/>
              <w:t> </w:t>
            </w:r>
          </w:p>
        </w:tc>
        <w:tc>
          <w:tcPr>
            <w:tcW w:w="35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Xinshi District Suzhou East Rd. Chanson Bakery</w:t>
            </w:r>
          </w:p>
        </w:tc>
        <w:tc>
          <w:tcPr>
            <w:tcW w:w="90" w:type="dxa"/>
            <w:tcBorders/>
            <w:vAlign w:val="center"/>
          </w:tcPr>
          <w:p>
            <w:pPr>
              <w:pStyle w:val="TableContents"/>
              <w:bidi w:val="0"/>
              <w:spacing w:before="0" w:after="283"/>
              <w:jc w:val="left"/>
              <w:rPr/>
            </w:pPr>
            <w:r>
              <w:rPr/>
              <w:t> </w:t>
            </w:r>
          </w:p>
        </w:tc>
        <w:tc>
          <w:tcPr>
            <w:tcW w:w="17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Baishang</w:t>
            </w:r>
          </w:p>
        </w:tc>
        <w:tc>
          <w:tcPr>
            <w:tcW w:w="90" w:type="dxa"/>
            <w:tcBorders/>
            <w:vAlign w:val="center"/>
          </w:tcPr>
          <w:p>
            <w:pPr>
              <w:pStyle w:val="TableContents"/>
              <w:bidi w:val="0"/>
              <w:spacing w:before="0" w:after="283"/>
              <w:jc w:val="left"/>
              <w:rPr/>
            </w:pPr>
            <w:r>
              <w:rPr/>
              <w:t> </w:t>
            </w:r>
          </w:p>
        </w:tc>
        <w:tc>
          <w:tcPr>
            <w:tcW w:w="44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90" w:type="dxa"/>
            <w:tcBorders/>
            <w:shd w:fill="CCEEFF" w:val="clear"/>
            <w:vAlign w:val="center"/>
          </w:tcPr>
          <w:p>
            <w:pPr>
              <w:pStyle w:val="TableContents"/>
              <w:bidi w:val="0"/>
              <w:spacing w:before="0" w:after="283"/>
              <w:jc w:val="left"/>
              <w:rPr/>
            </w:pPr>
            <w:r>
              <w:rPr/>
              <w:t> </w:t>
            </w:r>
          </w:p>
        </w:tc>
        <w:tc>
          <w:tcPr>
            <w:tcW w:w="35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Xinshi District South No.3 Rd. Chanson Bakery</w:t>
            </w:r>
          </w:p>
        </w:tc>
        <w:tc>
          <w:tcPr>
            <w:tcW w:w="90" w:type="dxa"/>
            <w:tcBorders/>
            <w:shd w:fill="CCEEFF" w:val="clear"/>
            <w:vAlign w:val="center"/>
          </w:tcPr>
          <w:p>
            <w:pPr>
              <w:pStyle w:val="TableContents"/>
              <w:bidi w:val="0"/>
              <w:spacing w:before="0" w:after="283"/>
              <w:jc w:val="left"/>
              <w:rPr/>
            </w:pPr>
            <w:r>
              <w:rPr/>
              <w:t> </w:t>
            </w:r>
          </w:p>
        </w:tc>
        <w:tc>
          <w:tcPr>
            <w:tcW w:w="170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Railway Bureau</w:t>
            </w:r>
          </w:p>
        </w:tc>
        <w:tc>
          <w:tcPr>
            <w:tcW w:w="90" w:type="dxa"/>
            <w:tcBorders/>
            <w:shd w:fill="CCEEFF" w:val="clear"/>
            <w:vAlign w:val="center"/>
          </w:tcPr>
          <w:p>
            <w:pPr>
              <w:pStyle w:val="TableContents"/>
              <w:bidi w:val="0"/>
              <w:spacing w:before="0" w:after="283"/>
              <w:jc w:val="left"/>
              <w:rPr/>
            </w:pPr>
            <w:r>
              <w:rPr/>
              <w:t> </w:t>
            </w:r>
          </w:p>
        </w:tc>
        <w:tc>
          <w:tcPr>
            <w:tcW w:w="443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w:t>
            </w:r>
          </w:p>
        </w:tc>
        <w:tc>
          <w:tcPr>
            <w:tcW w:w="90" w:type="dxa"/>
            <w:tcBorders/>
            <w:vAlign w:val="center"/>
          </w:tcPr>
          <w:p>
            <w:pPr>
              <w:pStyle w:val="TableContents"/>
              <w:bidi w:val="0"/>
              <w:spacing w:before="0" w:after="283"/>
              <w:jc w:val="left"/>
              <w:rPr/>
            </w:pPr>
            <w:r>
              <w:rPr/>
              <w:t> </w:t>
            </w:r>
          </w:p>
        </w:tc>
        <w:tc>
          <w:tcPr>
            <w:tcW w:w="35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Urumqi Economics and Technology Development District George Chanson Bakery on Xuanwuhu Rd.</w:t>
            </w:r>
          </w:p>
        </w:tc>
        <w:tc>
          <w:tcPr>
            <w:tcW w:w="90" w:type="dxa"/>
            <w:tcBorders/>
            <w:vAlign w:val="center"/>
          </w:tcPr>
          <w:p>
            <w:pPr>
              <w:pStyle w:val="TableContents"/>
              <w:bidi w:val="0"/>
              <w:spacing w:before="0" w:after="283"/>
              <w:jc w:val="left"/>
              <w:rPr/>
            </w:pPr>
            <w:r>
              <w:rPr/>
              <w:t> </w:t>
            </w:r>
          </w:p>
        </w:tc>
        <w:tc>
          <w:tcPr>
            <w:tcW w:w="17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Economics Development Wanda</w:t>
            </w:r>
          </w:p>
        </w:tc>
        <w:tc>
          <w:tcPr>
            <w:tcW w:w="90" w:type="dxa"/>
            <w:tcBorders/>
            <w:vAlign w:val="center"/>
          </w:tcPr>
          <w:p>
            <w:pPr>
              <w:pStyle w:val="TableContents"/>
              <w:bidi w:val="0"/>
              <w:spacing w:before="0" w:after="283"/>
              <w:jc w:val="left"/>
              <w:rPr/>
            </w:pPr>
            <w:r>
              <w:rPr/>
              <w:t> </w:t>
            </w:r>
          </w:p>
        </w:tc>
        <w:tc>
          <w:tcPr>
            <w:tcW w:w="44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w:t>
            </w:r>
          </w:p>
        </w:tc>
        <w:tc>
          <w:tcPr>
            <w:tcW w:w="90" w:type="dxa"/>
            <w:tcBorders/>
            <w:shd w:fill="CCEEFF" w:val="clear"/>
            <w:vAlign w:val="center"/>
          </w:tcPr>
          <w:p>
            <w:pPr>
              <w:pStyle w:val="TableContents"/>
              <w:bidi w:val="0"/>
              <w:spacing w:before="0" w:after="283"/>
              <w:jc w:val="left"/>
              <w:rPr/>
            </w:pPr>
            <w:r>
              <w:rPr/>
              <w:t> </w:t>
            </w:r>
          </w:p>
        </w:tc>
        <w:tc>
          <w:tcPr>
            <w:tcW w:w="35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Shayibake District Youhao South Rd. Chanson Bakery</w:t>
            </w:r>
          </w:p>
        </w:tc>
        <w:tc>
          <w:tcPr>
            <w:tcW w:w="90" w:type="dxa"/>
            <w:tcBorders/>
            <w:shd w:fill="CCEEFF" w:val="clear"/>
            <w:vAlign w:val="center"/>
          </w:tcPr>
          <w:p>
            <w:pPr>
              <w:pStyle w:val="TableContents"/>
              <w:bidi w:val="0"/>
              <w:spacing w:before="0" w:after="283"/>
              <w:jc w:val="left"/>
              <w:rPr/>
            </w:pPr>
            <w:r>
              <w:rPr/>
              <w:t> </w:t>
            </w:r>
          </w:p>
        </w:tc>
        <w:tc>
          <w:tcPr>
            <w:tcW w:w="170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Hongshan Lifestyle Store</w:t>
            </w:r>
          </w:p>
        </w:tc>
        <w:tc>
          <w:tcPr>
            <w:tcW w:w="90" w:type="dxa"/>
            <w:tcBorders/>
            <w:shd w:fill="CCEEFF" w:val="clear"/>
            <w:vAlign w:val="center"/>
          </w:tcPr>
          <w:p>
            <w:pPr>
              <w:pStyle w:val="TableContents"/>
              <w:bidi w:val="0"/>
              <w:spacing w:before="0" w:after="283"/>
              <w:jc w:val="left"/>
              <w:rPr/>
            </w:pPr>
            <w:r>
              <w:rPr/>
              <w:t> </w:t>
            </w:r>
          </w:p>
        </w:tc>
        <w:tc>
          <w:tcPr>
            <w:tcW w:w="443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w:t>
            </w:r>
          </w:p>
        </w:tc>
        <w:tc>
          <w:tcPr>
            <w:tcW w:w="90" w:type="dxa"/>
            <w:tcBorders/>
            <w:vAlign w:val="center"/>
          </w:tcPr>
          <w:p>
            <w:pPr>
              <w:pStyle w:val="TableContents"/>
              <w:bidi w:val="0"/>
              <w:spacing w:before="0" w:after="283"/>
              <w:jc w:val="left"/>
              <w:rPr/>
            </w:pPr>
            <w:r>
              <w:rPr/>
              <w:t> </w:t>
            </w:r>
          </w:p>
        </w:tc>
        <w:tc>
          <w:tcPr>
            <w:tcW w:w="35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Shuimogou District South Nanhu Rd. George Chanson Bakery</w:t>
            </w:r>
          </w:p>
        </w:tc>
        <w:tc>
          <w:tcPr>
            <w:tcW w:w="90" w:type="dxa"/>
            <w:tcBorders/>
            <w:vAlign w:val="center"/>
          </w:tcPr>
          <w:p>
            <w:pPr>
              <w:pStyle w:val="TableContents"/>
              <w:bidi w:val="0"/>
              <w:spacing w:before="0" w:after="283"/>
              <w:jc w:val="left"/>
              <w:rPr/>
            </w:pPr>
            <w:r>
              <w:rPr/>
              <w:t> </w:t>
            </w:r>
          </w:p>
        </w:tc>
        <w:tc>
          <w:tcPr>
            <w:tcW w:w="17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Nanhu</w:t>
            </w:r>
          </w:p>
        </w:tc>
        <w:tc>
          <w:tcPr>
            <w:tcW w:w="90" w:type="dxa"/>
            <w:tcBorders/>
            <w:vAlign w:val="center"/>
          </w:tcPr>
          <w:p>
            <w:pPr>
              <w:pStyle w:val="TableContents"/>
              <w:bidi w:val="0"/>
              <w:spacing w:before="0" w:after="283"/>
              <w:jc w:val="left"/>
              <w:rPr/>
            </w:pPr>
            <w:r>
              <w:rPr/>
              <w:t> </w:t>
            </w:r>
          </w:p>
        </w:tc>
        <w:tc>
          <w:tcPr>
            <w:tcW w:w="44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w:t>
            </w:r>
          </w:p>
        </w:tc>
        <w:tc>
          <w:tcPr>
            <w:tcW w:w="90" w:type="dxa"/>
            <w:tcBorders/>
            <w:shd w:fill="CCEEFF" w:val="clear"/>
            <w:vAlign w:val="center"/>
          </w:tcPr>
          <w:p>
            <w:pPr>
              <w:pStyle w:val="TableContents"/>
              <w:bidi w:val="0"/>
              <w:spacing w:before="0" w:after="283"/>
              <w:jc w:val="left"/>
              <w:rPr/>
            </w:pPr>
            <w:r>
              <w:rPr/>
              <w:t> </w:t>
            </w:r>
          </w:p>
        </w:tc>
        <w:tc>
          <w:tcPr>
            <w:tcW w:w="35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Xinshi District Hebei East Rd. George Chanson Bakery</w:t>
            </w:r>
          </w:p>
        </w:tc>
        <w:tc>
          <w:tcPr>
            <w:tcW w:w="90" w:type="dxa"/>
            <w:tcBorders/>
            <w:shd w:fill="CCEEFF" w:val="clear"/>
            <w:vAlign w:val="center"/>
          </w:tcPr>
          <w:p>
            <w:pPr>
              <w:pStyle w:val="TableContents"/>
              <w:bidi w:val="0"/>
              <w:spacing w:before="0" w:after="283"/>
              <w:jc w:val="left"/>
              <w:rPr/>
            </w:pPr>
            <w:r>
              <w:rPr/>
              <w:t> </w:t>
            </w:r>
          </w:p>
        </w:tc>
        <w:tc>
          <w:tcPr>
            <w:tcW w:w="170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Hebei Road Huarun</w:t>
            </w:r>
          </w:p>
        </w:tc>
        <w:tc>
          <w:tcPr>
            <w:tcW w:w="90" w:type="dxa"/>
            <w:tcBorders/>
            <w:shd w:fill="CCEEFF" w:val="clear"/>
            <w:vAlign w:val="center"/>
          </w:tcPr>
          <w:p>
            <w:pPr>
              <w:pStyle w:val="TableContents"/>
              <w:bidi w:val="0"/>
              <w:spacing w:before="0" w:after="283"/>
              <w:jc w:val="left"/>
              <w:rPr/>
            </w:pPr>
            <w:r>
              <w:rPr/>
              <w:t> </w:t>
            </w:r>
          </w:p>
        </w:tc>
        <w:tc>
          <w:tcPr>
            <w:tcW w:w="443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w:t>
            </w:r>
          </w:p>
        </w:tc>
        <w:tc>
          <w:tcPr>
            <w:tcW w:w="90" w:type="dxa"/>
            <w:tcBorders/>
            <w:vAlign w:val="center"/>
          </w:tcPr>
          <w:p>
            <w:pPr>
              <w:pStyle w:val="TableContents"/>
              <w:bidi w:val="0"/>
              <w:spacing w:before="0" w:after="283"/>
              <w:jc w:val="left"/>
              <w:rPr/>
            </w:pPr>
            <w:r>
              <w:rPr/>
              <w:t> </w:t>
            </w:r>
          </w:p>
        </w:tc>
        <w:tc>
          <w:tcPr>
            <w:tcW w:w="35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Urumqi Toutunhe District George Chanson Bakery on Zhongya South Rd.</w:t>
            </w:r>
          </w:p>
        </w:tc>
        <w:tc>
          <w:tcPr>
            <w:tcW w:w="90" w:type="dxa"/>
            <w:tcBorders/>
            <w:vAlign w:val="center"/>
          </w:tcPr>
          <w:p>
            <w:pPr>
              <w:pStyle w:val="TableContents"/>
              <w:bidi w:val="0"/>
              <w:spacing w:before="0" w:after="283"/>
              <w:jc w:val="left"/>
              <w:rPr/>
            </w:pPr>
            <w:r>
              <w:rPr/>
              <w:t> </w:t>
            </w:r>
          </w:p>
        </w:tc>
        <w:tc>
          <w:tcPr>
            <w:tcW w:w="17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Degang Wanda</w:t>
            </w:r>
          </w:p>
        </w:tc>
        <w:tc>
          <w:tcPr>
            <w:tcW w:w="90" w:type="dxa"/>
            <w:tcBorders/>
            <w:vAlign w:val="center"/>
          </w:tcPr>
          <w:p>
            <w:pPr>
              <w:pStyle w:val="TableContents"/>
              <w:bidi w:val="0"/>
              <w:spacing w:before="0" w:after="283"/>
              <w:jc w:val="left"/>
              <w:rPr/>
            </w:pPr>
            <w:r>
              <w:rPr/>
              <w:t> </w:t>
            </w:r>
          </w:p>
        </w:tc>
        <w:tc>
          <w:tcPr>
            <w:tcW w:w="44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w:t>
            </w:r>
          </w:p>
        </w:tc>
        <w:tc>
          <w:tcPr>
            <w:tcW w:w="90" w:type="dxa"/>
            <w:tcBorders/>
            <w:shd w:fill="CCEEFF" w:val="clear"/>
            <w:vAlign w:val="center"/>
          </w:tcPr>
          <w:p>
            <w:pPr>
              <w:pStyle w:val="TableContents"/>
              <w:bidi w:val="0"/>
              <w:spacing w:before="0" w:after="283"/>
              <w:jc w:val="left"/>
              <w:rPr/>
            </w:pPr>
            <w:r>
              <w:rPr/>
              <w:t> </w:t>
            </w:r>
          </w:p>
        </w:tc>
        <w:tc>
          <w:tcPr>
            <w:tcW w:w="35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Shayibake District Karamay West Rd. Chanson Bakery</w:t>
            </w:r>
          </w:p>
        </w:tc>
        <w:tc>
          <w:tcPr>
            <w:tcW w:w="90" w:type="dxa"/>
            <w:tcBorders/>
            <w:shd w:fill="CCEEFF" w:val="clear"/>
            <w:vAlign w:val="center"/>
          </w:tcPr>
          <w:p>
            <w:pPr>
              <w:pStyle w:val="TableContents"/>
              <w:bidi w:val="0"/>
              <w:spacing w:before="0" w:after="283"/>
              <w:jc w:val="left"/>
              <w:rPr/>
            </w:pPr>
            <w:r>
              <w:rPr/>
              <w:t> </w:t>
            </w:r>
          </w:p>
        </w:tc>
        <w:tc>
          <w:tcPr>
            <w:tcW w:w="170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Xinbei Yuanchun</w:t>
            </w:r>
          </w:p>
        </w:tc>
        <w:tc>
          <w:tcPr>
            <w:tcW w:w="90" w:type="dxa"/>
            <w:tcBorders/>
            <w:shd w:fill="CCEEFF" w:val="clear"/>
            <w:vAlign w:val="center"/>
          </w:tcPr>
          <w:p>
            <w:pPr>
              <w:pStyle w:val="TableContents"/>
              <w:bidi w:val="0"/>
              <w:spacing w:before="0" w:after="283"/>
              <w:jc w:val="left"/>
              <w:rPr/>
            </w:pPr>
            <w:r>
              <w:rPr/>
              <w:t> </w:t>
            </w:r>
          </w:p>
        </w:tc>
        <w:tc>
          <w:tcPr>
            <w:tcW w:w="443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w:t>
            </w:r>
          </w:p>
        </w:tc>
        <w:tc>
          <w:tcPr>
            <w:tcW w:w="90" w:type="dxa"/>
            <w:tcBorders/>
            <w:vAlign w:val="center"/>
          </w:tcPr>
          <w:p>
            <w:pPr>
              <w:pStyle w:val="TableContents"/>
              <w:bidi w:val="0"/>
              <w:spacing w:before="0" w:after="283"/>
              <w:jc w:val="left"/>
              <w:rPr/>
            </w:pPr>
            <w:r>
              <w:rPr/>
              <w:t> </w:t>
            </w:r>
          </w:p>
        </w:tc>
        <w:tc>
          <w:tcPr>
            <w:tcW w:w="35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Shayibake District Qitai Rd. Hemeijia Chanson Bakery</w:t>
            </w:r>
          </w:p>
        </w:tc>
        <w:tc>
          <w:tcPr>
            <w:tcW w:w="90" w:type="dxa"/>
            <w:tcBorders/>
            <w:vAlign w:val="center"/>
          </w:tcPr>
          <w:p>
            <w:pPr>
              <w:pStyle w:val="TableContents"/>
              <w:bidi w:val="0"/>
              <w:spacing w:before="0" w:after="283"/>
              <w:jc w:val="left"/>
              <w:rPr/>
            </w:pPr>
            <w:r>
              <w:rPr/>
              <w:t> </w:t>
            </w:r>
          </w:p>
        </w:tc>
        <w:tc>
          <w:tcPr>
            <w:tcW w:w="17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Dehui Wangda Fourth Floor</w:t>
            </w:r>
          </w:p>
        </w:tc>
        <w:tc>
          <w:tcPr>
            <w:tcW w:w="90" w:type="dxa"/>
            <w:tcBorders/>
            <w:vAlign w:val="center"/>
          </w:tcPr>
          <w:p>
            <w:pPr>
              <w:pStyle w:val="TableContents"/>
              <w:bidi w:val="0"/>
              <w:spacing w:before="0" w:after="283"/>
              <w:jc w:val="left"/>
              <w:rPr/>
            </w:pPr>
            <w:r>
              <w:rPr/>
              <w:t> </w:t>
            </w:r>
          </w:p>
        </w:tc>
        <w:tc>
          <w:tcPr>
            <w:tcW w:w="44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90" w:type="dxa"/>
            <w:tcBorders/>
            <w:shd w:fill="CCEEFF" w:val="clear"/>
            <w:vAlign w:val="center"/>
          </w:tcPr>
          <w:p>
            <w:pPr>
              <w:pStyle w:val="TableContents"/>
              <w:bidi w:val="0"/>
              <w:spacing w:before="0" w:after="283"/>
              <w:jc w:val="left"/>
              <w:rPr/>
            </w:pPr>
            <w:r>
              <w:rPr/>
              <w:t> </w:t>
            </w:r>
          </w:p>
        </w:tc>
        <w:tc>
          <w:tcPr>
            <w:tcW w:w="35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Tianshan District Qingnian Rd. Chanson Bakery</w:t>
            </w:r>
          </w:p>
        </w:tc>
        <w:tc>
          <w:tcPr>
            <w:tcW w:w="90" w:type="dxa"/>
            <w:tcBorders/>
            <w:shd w:fill="CCEEFF" w:val="clear"/>
            <w:vAlign w:val="center"/>
          </w:tcPr>
          <w:p>
            <w:pPr>
              <w:pStyle w:val="TableContents"/>
              <w:bidi w:val="0"/>
              <w:spacing w:before="0" w:after="283"/>
              <w:jc w:val="left"/>
              <w:rPr/>
            </w:pPr>
            <w:r>
              <w:rPr/>
              <w:t> </w:t>
            </w:r>
          </w:p>
        </w:tc>
        <w:tc>
          <w:tcPr>
            <w:tcW w:w="170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Qingnian Road Haojiaxiang</w:t>
            </w:r>
          </w:p>
        </w:tc>
        <w:tc>
          <w:tcPr>
            <w:tcW w:w="90" w:type="dxa"/>
            <w:tcBorders/>
            <w:shd w:fill="CCEEFF" w:val="clear"/>
            <w:vAlign w:val="center"/>
          </w:tcPr>
          <w:p>
            <w:pPr>
              <w:pStyle w:val="TableContents"/>
              <w:bidi w:val="0"/>
              <w:spacing w:before="0" w:after="283"/>
              <w:jc w:val="left"/>
              <w:rPr/>
            </w:pPr>
            <w:r>
              <w:rPr/>
              <w:t> </w:t>
            </w:r>
          </w:p>
        </w:tc>
        <w:tc>
          <w:tcPr>
            <w:tcW w:w="443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w:t>
            </w:r>
          </w:p>
        </w:tc>
        <w:tc>
          <w:tcPr>
            <w:tcW w:w="90" w:type="dxa"/>
            <w:tcBorders/>
            <w:vAlign w:val="center"/>
          </w:tcPr>
          <w:p>
            <w:pPr>
              <w:pStyle w:val="TableContents"/>
              <w:bidi w:val="0"/>
              <w:spacing w:before="0" w:after="283"/>
              <w:jc w:val="left"/>
              <w:rPr/>
            </w:pPr>
            <w:r>
              <w:rPr/>
              <w:t> </w:t>
            </w:r>
          </w:p>
        </w:tc>
        <w:tc>
          <w:tcPr>
            <w:tcW w:w="35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Xinshi District Liyushan North Rd. Hemeijia Bakery</w:t>
            </w:r>
          </w:p>
        </w:tc>
        <w:tc>
          <w:tcPr>
            <w:tcW w:w="90" w:type="dxa"/>
            <w:tcBorders/>
            <w:vAlign w:val="center"/>
          </w:tcPr>
          <w:p>
            <w:pPr>
              <w:pStyle w:val="TableContents"/>
              <w:bidi w:val="0"/>
              <w:spacing w:before="0" w:after="283"/>
              <w:jc w:val="left"/>
              <w:rPr/>
            </w:pPr>
            <w:r>
              <w:rPr/>
              <w:t> </w:t>
            </w:r>
          </w:p>
        </w:tc>
        <w:tc>
          <w:tcPr>
            <w:tcW w:w="17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Vanke Jincheng Huafu</w:t>
            </w:r>
          </w:p>
        </w:tc>
        <w:tc>
          <w:tcPr>
            <w:tcW w:w="90" w:type="dxa"/>
            <w:tcBorders/>
            <w:vAlign w:val="center"/>
          </w:tcPr>
          <w:p>
            <w:pPr>
              <w:pStyle w:val="TableContents"/>
              <w:bidi w:val="0"/>
              <w:spacing w:before="0" w:after="283"/>
              <w:jc w:val="left"/>
              <w:rPr/>
            </w:pPr>
            <w:r>
              <w:rPr/>
              <w:t> </w:t>
            </w:r>
          </w:p>
        </w:tc>
        <w:tc>
          <w:tcPr>
            <w:tcW w:w="44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w:t>
            </w:r>
          </w:p>
        </w:tc>
        <w:tc>
          <w:tcPr>
            <w:tcW w:w="90" w:type="dxa"/>
            <w:tcBorders/>
            <w:shd w:fill="CCEEFF" w:val="clear"/>
            <w:vAlign w:val="center"/>
          </w:tcPr>
          <w:p>
            <w:pPr>
              <w:pStyle w:val="TableContents"/>
              <w:bidi w:val="0"/>
              <w:spacing w:before="0" w:after="283"/>
              <w:jc w:val="left"/>
              <w:rPr/>
            </w:pPr>
            <w:r>
              <w:rPr/>
              <w:t> </w:t>
            </w:r>
          </w:p>
        </w:tc>
        <w:tc>
          <w:tcPr>
            <w:tcW w:w="35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Xinshi District Changchun North Rd. Chanson Bakery</w:t>
            </w:r>
          </w:p>
        </w:tc>
        <w:tc>
          <w:tcPr>
            <w:tcW w:w="90" w:type="dxa"/>
            <w:tcBorders/>
            <w:shd w:fill="CCEEFF" w:val="clear"/>
            <w:vAlign w:val="center"/>
          </w:tcPr>
          <w:p>
            <w:pPr>
              <w:pStyle w:val="TableContents"/>
              <w:bidi w:val="0"/>
              <w:spacing w:before="0" w:after="283"/>
              <w:jc w:val="left"/>
              <w:rPr/>
            </w:pPr>
            <w:r>
              <w:rPr/>
              <w:t> </w:t>
            </w:r>
          </w:p>
        </w:tc>
        <w:tc>
          <w:tcPr>
            <w:tcW w:w="170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Gaoxin Wanda</w:t>
            </w:r>
          </w:p>
        </w:tc>
        <w:tc>
          <w:tcPr>
            <w:tcW w:w="90" w:type="dxa"/>
            <w:tcBorders/>
            <w:shd w:fill="CCEEFF" w:val="clear"/>
            <w:vAlign w:val="center"/>
          </w:tcPr>
          <w:p>
            <w:pPr>
              <w:pStyle w:val="TableContents"/>
              <w:bidi w:val="0"/>
              <w:spacing w:before="0" w:after="283"/>
              <w:jc w:val="left"/>
              <w:rPr/>
            </w:pPr>
            <w:r>
              <w:rPr/>
              <w:t> </w:t>
            </w:r>
          </w:p>
        </w:tc>
        <w:tc>
          <w:tcPr>
            <w:tcW w:w="443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90"/>
        <w:gridCol w:w="6256"/>
        <w:gridCol w:w="90"/>
        <w:gridCol w:w="2287"/>
        <w:gridCol w:w="90"/>
        <w:gridCol w:w="1117"/>
      </w:tblGrid>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w:t>
            </w:r>
          </w:p>
        </w:tc>
        <w:tc>
          <w:tcPr>
            <w:tcW w:w="90" w:type="dxa"/>
            <w:tcBorders/>
            <w:shd w:fill="CCEEFF" w:val="clear"/>
            <w:vAlign w:val="center"/>
          </w:tcPr>
          <w:p>
            <w:pPr>
              <w:pStyle w:val="TableContents"/>
              <w:bidi w:val="0"/>
              <w:spacing w:before="0" w:after="283"/>
              <w:jc w:val="left"/>
              <w:rPr/>
            </w:pPr>
            <w:r>
              <w:rPr/>
              <w:t> </w:t>
            </w:r>
          </w:p>
        </w:tc>
        <w:tc>
          <w:tcPr>
            <w:tcW w:w="625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Shayibake District Youhao North Road Chanson Coffee Bakery</w:t>
            </w:r>
          </w:p>
        </w:tc>
        <w:tc>
          <w:tcPr>
            <w:tcW w:w="90" w:type="dxa"/>
            <w:tcBorders/>
            <w:shd w:fill="CCEEFF" w:val="clear"/>
            <w:vAlign w:val="center"/>
          </w:tcPr>
          <w:p>
            <w:pPr>
              <w:pStyle w:val="TableContents"/>
              <w:bidi w:val="0"/>
              <w:spacing w:before="0" w:after="283"/>
              <w:jc w:val="left"/>
              <w:rPr/>
            </w:pPr>
            <w:r>
              <w:rPr/>
              <w:t> </w:t>
            </w:r>
          </w:p>
        </w:tc>
        <w:tc>
          <w:tcPr>
            <w:tcW w:w="22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Soul●Song Meimei No. 2</w:t>
            </w:r>
          </w:p>
        </w:tc>
        <w:tc>
          <w:tcPr>
            <w:tcW w:w="90"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w:t>
            </w:r>
          </w:p>
        </w:tc>
        <w:tc>
          <w:tcPr>
            <w:tcW w:w="90" w:type="dxa"/>
            <w:tcBorders/>
            <w:vAlign w:val="center"/>
          </w:tcPr>
          <w:p>
            <w:pPr>
              <w:pStyle w:val="TableContents"/>
              <w:bidi w:val="0"/>
              <w:spacing w:before="0" w:after="283"/>
              <w:jc w:val="left"/>
              <w:rPr/>
            </w:pPr>
            <w:r>
              <w:rPr/>
              <w:t> </w:t>
            </w:r>
          </w:p>
        </w:tc>
        <w:tc>
          <w:tcPr>
            <w:tcW w:w="62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Tianshan District Jiefang North Rd. Chanson Coffee Bakery</w:t>
            </w:r>
          </w:p>
        </w:tc>
        <w:tc>
          <w:tcPr>
            <w:tcW w:w="90" w:type="dxa"/>
            <w:tcBorders/>
            <w:vAlign w:val="center"/>
          </w:tcPr>
          <w:p>
            <w:pPr>
              <w:pStyle w:val="TableContents"/>
              <w:bidi w:val="0"/>
              <w:spacing w:before="0" w:after="283"/>
              <w:jc w:val="left"/>
              <w:rPr/>
            </w:pPr>
            <w:r>
              <w:rPr/>
              <w:t> </w:t>
            </w:r>
          </w:p>
        </w:tc>
        <w:tc>
          <w:tcPr>
            <w:tcW w:w="22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Soul●Song Wanyan Cheng </w:t>
            </w:r>
          </w:p>
        </w:tc>
        <w:tc>
          <w:tcPr>
            <w:tcW w:w="90"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w:t>
            </w:r>
          </w:p>
        </w:tc>
        <w:tc>
          <w:tcPr>
            <w:tcW w:w="90" w:type="dxa"/>
            <w:tcBorders/>
            <w:shd w:fill="CCEEFF" w:val="clear"/>
            <w:vAlign w:val="center"/>
          </w:tcPr>
          <w:p>
            <w:pPr>
              <w:pStyle w:val="TableContents"/>
              <w:bidi w:val="0"/>
              <w:spacing w:before="0" w:after="283"/>
              <w:jc w:val="left"/>
              <w:rPr/>
            </w:pPr>
            <w:r>
              <w:rPr/>
              <w:t> </w:t>
            </w:r>
          </w:p>
        </w:tc>
        <w:tc>
          <w:tcPr>
            <w:tcW w:w="625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Tianshan District Wenhua Rd. Chanson Coffee Bakery</w:t>
            </w:r>
          </w:p>
        </w:tc>
        <w:tc>
          <w:tcPr>
            <w:tcW w:w="90" w:type="dxa"/>
            <w:tcBorders/>
            <w:shd w:fill="CCEEFF" w:val="clear"/>
            <w:vAlign w:val="center"/>
          </w:tcPr>
          <w:p>
            <w:pPr>
              <w:pStyle w:val="TableContents"/>
              <w:bidi w:val="0"/>
              <w:spacing w:before="0" w:after="283"/>
              <w:jc w:val="left"/>
              <w:rPr/>
            </w:pPr>
            <w:r>
              <w:rPr/>
              <w:t> </w:t>
            </w:r>
          </w:p>
        </w:tc>
        <w:tc>
          <w:tcPr>
            <w:tcW w:w="22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Soul●Song Wenhua Road</w:t>
            </w:r>
          </w:p>
        </w:tc>
        <w:tc>
          <w:tcPr>
            <w:tcW w:w="90"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27</w:t>
            </w:r>
          </w:p>
        </w:tc>
        <w:tc>
          <w:tcPr>
            <w:tcW w:w="90" w:type="dxa"/>
            <w:tcBorders/>
            <w:vAlign w:val="center"/>
          </w:tcPr>
          <w:p>
            <w:pPr>
              <w:pStyle w:val="TableContents"/>
              <w:bidi w:val="0"/>
              <w:spacing w:before="0" w:after="283"/>
              <w:jc w:val="left"/>
              <w:rPr/>
            </w:pPr>
            <w:r>
              <w:rPr/>
              <w:t> </w:t>
            </w:r>
          </w:p>
        </w:tc>
        <w:tc>
          <w:tcPr>
            <w:tcW w:w="62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Tianshan District Minzhu Rd. Heimeijie Coffee and Food Store</w:t>
            </w:r>
          </w:p>
        </w:tc>
        <w:tc>
          <w:tcPr>
            <w:tcW w:w="90" w:type="dxa"/>
            <w:tcBorders/>
            <w:vAlign w:val="center"/>
          </w:tcPr>
          <w:p>
            <w:pPr>
              <w:pStyle w:val="TableContents"/>
              <w:bidi w:val="0"/>
              <w:spacing w:before="0" w:after="283"/>
              <w:jc w:val="left"/>
              <w:rPr/>
            </w:pPr>
            <w:r>
              <w:rPr/>
              <w:t> </w:t>
            </w:r>
          </w:p>
        </w:tc>
        <w:tc>
          <w:tcPr>
            <w:tcW w:w="22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Soul●Song Minzhu Road </w:t>
            </w:r>
          </w:p>
        </w:tc>
        <w:tc>
          <w:tcPr>
            <w:tcW w:w="90"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w:t>
            </w:r>
          </w:p>
        </w:tc>
        <w:tc>
          <w:tcPr>
            <w:tcW w:w="90" w:type="dxa"/>
            <w:tcBorders/>
            <w:shd w:fill="CCEEFF" w:val="clear"/>
            <w:vAlign w:val="center"/>
          </w:tcPr>
          <w:p>
            <w:pPr>
              <w:pStyle w:val="TableContents"/>
              <w:bidi w:val="0"/>
              <w:spacing w:before="0" w:after="283"/>
              <w:jc w:val="left"/>
              <w:rPr/>
            </w:pPr>
            <w:r>
              <w:rPr/>
              <w:t> </w:t>
            </w:r>
          </w:p>
        </w:tc>
        <w:tc>
          <w:tcPr>
            <w:tcW w:w="625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Tianshan District Cuiquan Rd. George Chanson Bakery</w:t>
            </w:r>
          </w:p>
        </w:tc>
        <w:tc>
          <w:tcPr>
            <w:tcW w:w="90" w:type="dxa"/>
            <w:tcBorders/>
            <w:shd w:fill="CCEEFF" w:val="clear"/>
            <w:vAlign w:val="center"/>
          </w:tcPr>
          <w:p>
            <w:pPr>
              <w:pStyle w:val="TableContents"/>
              <w:bidi w:val="0"/>
              <w:spacing w:before="0" w:after="283"/>
              <w:jc w:val="left"/>
              <w:rPr/>
            </w:pPr>
            <w:r>
              <w:rPr/>
              <w:t> </w:t>
            </w:r>
          </w:p>
        </w:tc>
        <w:tc>
          <w:tcPr>
            <w:tcW w:w="22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Vanke Tianshanli </w:t>
            </w:r>
          </w:p>
        </w:tc>
        <w:tc>
          <w:tcPr>
            <w:tcW w:w="90"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w:t>
            </w:r>
          </w:p>
        </w:tc>
        <w:tc>
          <w:tcPr>
            <w:tcW w:w="90" w:type="dxa"/>
            <w:tcBorders/>
            <w:vAlign w:val="center"/>
          </w:tcPr>
          <w:p>
            <w:pPr>
              <w:pStyle w:val="TableContents"/>
              <w:bidi w:val="0"/>
              <w:spacing w:before="0" w:after="283"/>
              <w:jc w:val="left"/>
              <w:rPr/>
            </w:pPr>
            <w:r>
              <w:rPr/>
              <w:t> </w:t>
            </w:r>
          </w:p>
        </w:tc>
        <w:tc>
          <w:tcPr>
            <w:tcW w:w="62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Tianshan District Cuiquan Rd. Coffee and Food Store</w:t>
            </w:r>
          </w:p>
        </w:tc>
        <w:tc>
          <w:tcPr>
            <w:tcW w:w="90" w:type="dxa"/>
            <w:tcBorders/>
            <w:vAlign w:val="center"/>
          </w:tcPr>
          <w:p>
            <w:pPr>
              <w:pStyle w:val="TableContents"/>
              <w:bidi w:val="0"/>
              <w:spacing w:before="0" w:after="283"/>
              <w:jc w:val="left"/>
              <w:rPr/>
            </w:pPr>
            <w:r>
              <w:rPr/>
              <w:t> </w:t>
            </w:r>
          </w:p>
        </w:tc>
        <w:tc>
          <w:tcPr>
            <w:tcW w:w="22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Soul●Song Vanke Tianshanli</w:t>
            </w:r>
          </w:p>
        </w:tc>
        <w:tc>
          <w:tcPr>
            <w:tcW w:w="90"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30</w:t>
            </w:r>
          </w:p>
        </w:tc>
        <w:tc>
          <w:tcPr>
            <w:tcW w:w="90" w:type="dxa"/>
            <w:tcBorders/>
            <w:shd w:fill="CCEEFF" w:val="clear"/>
            <w:vAlign w:val="center"/>
          </w:tcPr>
          <w:p>
            <w:pPr>
              <w:pStyle w:val="TableContents"/>
              <w:bidi w:val="0"/>
              <w:spacing w:before="0" w:after="283"/>
              <w:jc w:val="left"/>
              <w:rPr/>
            </w:pPr>
            <w:r>
              <w:rPr/>
              <w:t> </w:t>
            </w:r>
          </w:p>
        </w:tc>
        <w:tc>
          <w:tcPr>
            <w:tcW w:w="625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Xinshi District Changchun North Rd. Chanson Coffee and Food Store</w:t>
            </w:r>
          </w:p>
        </w:tc>
        <w:tc>
          <w:tcPr>
            <w:tcW w:w="90" w:type="dxa"/>
            <w:tcBorders/>
            <w:shd w:fill="CCEEFF" w:val="clear"/>
            <w:vAlign w:val="center"/>
          </w:tcPr>
          <w:p>
            <w:pPr>
              <w:pStyle w:val="TableContents"/>
              <w:bidi w:val="0"/>
              <w:spacing w:before="0" w:after="283"/>
              <w:jc w:val="left"/>
              <w:rPr/>
            </w:pPr>
            <w:r>
              <w:rPr/>
              <w:t> </w:t>
            </w:r>
          </w:p>
        </w:tc>
        <w:tc>
          <w:tcPr>
            <w:tcW w:w="22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Soul●Song Gaoxin Wanda </w:t>
            </w:r>
          </w:p>
        </w:tc>
        <w:tc>
          <w:tcPr>
            <w:tcW w:w="90"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w:t>
            </w:r>
          </w:p>
        </w:tc>
        <w:tc>
          <w:tcPr>
            <w:tcW w:w="90" w:type="dxa"/>
            <w:tcBorders/>
            <w:vAlign w:val="center"/>
          </w:tcPr>
          <w:p>
            <w:pPr>
              <w:pStyle w:val="TableContents"/>
              <w:bidi w:val="0"/>
              <w:spacing w:before="0" w:after="283"/>
              <w:jc w:val="left"/>
              <w:rPr/>
            </w:pPr>
            <w:r>
              <w:rPr/>
              <w:t> </w:t>
            </w:r>
          </w:p>
        </w:tc>
        <w:tc>
          <w:tcPr>
            <w:tcW w:w="62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Tianshan District Wenhua Rd. Chanson Coffee and Food Store</w:t>
            </w:r>
          </w:p>
        </w:tc>
        <w:tc>
          <w:tcPr>
            <w:tcW w:w="90" w:type="dxa"/>
            <w:tcBorders/>
            <w:vAlign w:val="center"/>
          </w:tcPr>
          <w:p>
            <w:pPr>
              <w:pStyle w:val="TableContents"/>
              <w:bidi w:val="0"/>
              <w:spacing w:before="0" w:after="283"/>
              <w:jc w:val="left"/>
              <w:rPr/>
            </w:pPr>
            <w:r>
              <w:rPr/>
              <w:t> </w:t>
            </w:r>
          </w:p>
        </w:tc>
        <w:tc>
          <w:tcPr>
            <w:tcW w:w="22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Soul●Song Mali Hospital</w:t>
            </w:r>
          </w:p>
        </w:tc>
        <w:tc>
          <w:tcPr>
            <w:tcW w:w="90"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w:t>
            </w:r>
          </w:p>
        </w:tc>
        <w:tc>
          <w:tcPr>
            <w:tcW w:w="90" w:type="dxa"/>
            <w:tcBorders/>
            <w:shd w:fill="CCEEFF" w:val="clear"/>
            <w:vAlign w:val="center"/>
          </w:tcPr>
          <w:p>
            <w:pPr>
              <w:pStyle w:val="TableContents"/>
              <w:bidi w:val="0"/>
              <w:spacing w:before="0" w:after="283"/>
              <w:jc w:val="left"/>
              <w:rPr/>
            </w:pPr>
            <w:r>
              <w:rPr/>
              <w:t> </w:t>
            </w:r>
          </w:p>
        </w:tc>
        <w:tc>
          <w:tcPr>
            <w:tcW w:w="625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Urumqi Economics and Technology Development District Toutunhe Chanson Coffee and Food Store </w:t>
            </w:r>
          </w:p>
        </w:tc>
        <w:tc>
          <w:tcPr>
            <w:tcW w:w="90" w:type="dxa"/>
            <w:tcBorders/>
            <w:shd w:fill="CCEEFF" w:val="clear"/>
            <w:vAlign w:val="center"/>
          </w:tcPr>
          <w:p>
            <w:pPr>
              <w:pStyle w:val="TableContents"/>
              <w:bidi w:val="0"/>
              <w:spacing w:before="0" w:after="283"/>
              <w:jc w:val="left"/>
              <w:rPr/>
            </w:pPr>
            <w:r>
              <w:rPr/>
              <w:t> </w:t>
            </w:r>
          </w:p>
        </w:tc>
        <w:tc>
          <w:tcPr>
            <w:tcW w:w="22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Soul●Song Aidi Dajiang </w:t>
            </w:r>
          </w:p>
        </w:tc>
        <w:tc>
          <w:tcPr>
            <w:tcW w:w="90"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33</w:t>
            </w:r>
          </w:p>
        </w:tc>
        <w:tc>
          <w:tcPr>
            <w:tcW w:w="90" w:type="dxa"/>
            <w:tcBorders/>
            <w:vAlign w:val="center"/>
          </w:tcPr>
          <w:p>
            <w:pPr>
              <w:pStyle w:val="TableContents"/>
              <w:bidi w:val="0"/>
              <w:spacing w:before="0" w:after="283"/>
              <w:jc w:val="left"/>
              <w:rPr/>
            </w:pPr>
            <w:r>
              <w:rPr/>
              <w:t> </w:t>
            </w:r>
          </w:p>
        </w:tc>
        <w:tc>
          <w:tcPr>
            <w:tcW w:w="62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Tianshan District Dongquan Rd. United Family Chanson Bakery</w:t>
            </w:r>
          </w:p>
        </w:tc>
        <w:tc>
          <w:tcPr>
            <w:tcW w:w="90" w:type="dxa"/>
            <w:tcBorders/>
            <w:vAlign w:val="center"/>
          </w:tcPr>
          <w:p>
            <w:pPr>
              <w:pStyle w:val="TableContents"/>
              <w:bidi w:val="0"/>
              <w:spacing w:before="0" w:after="283"/>
              <w:jc w:val="left"/>
              <w:rPr/>
            </w:pPr>
            <w:r>
              <w:rPr/>
              <w:t> </w:t>
            </w:r>
          </w:p>
        </w:tc>
        <w:tc>
          <w:tcPr>
            <w:tcW w:w="22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Shijie Guanjun No.1</w:t>
            </w:r>
          </w:p>
        </w:tc>
        <w:tc>
          <w:tcPr>
            <w:tcW w:w="90"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34</w:t>
            </w:r>
          </w:p>
        </w:tc>
        <w:tc>
          <w:tcPr>
            <w:tcW w:w="90" w:type="dxa"/>
            <w:tcBorders/>
            <w:shd w:fill="CCEEFF" w:val="clear"/>
            <w:vAlign w:val="center"/>
          </w:tcPr>
          <w:p>
            <w:pPr>
              <w:pStyle w:val="TableContents"/>
              <w:bidi w:val="0"/>
              <w:spacing w:before="0" w:after="283"/>
              <w:jc w:val="left"/>
              <w:rPr/>
            </w:pPr>
            <w:r>
              <w:rPr/>
              <w:t> </w:t>
            </w:r>
          </w:p>
        </w:tc>
        <w:tc>
          <w:tcPr>
            <w:tcW w:w="625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Tianshan District Dongquan Rd. United Family Bakery</w:t>
            </w:r>
          </w:p>
        </w:tc>
        <w:tc>
          <w:tcPr>
            <w:tcW w:w="90" w:type="dxa"/>
            <w:tcBorders/>
            <w:shd w:fill="CCEEFF" w:val="clear"/>
            <w:vAlign w:val="center"/>
          </w:tcPr>
          <w:p>
            <w:pPr>
              <w:pStyle w:val="TableContents"/>
              <w:bidi w:val="0"/>
              <w:spacing w:before="0" w:after="283"/>
              <w:jc w:val="left"/>
              <w:rPr/>
            </w:pPr>
            <w:r>
              <w:rPr/>
              <w:t> </w:t>
            </w:r>
          </w:p>
        </w:tc>
        <w:tc>
          <w:tcPr>
            <w:tcW w:w="22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Shijie Guanjun No.2</w:t>
            </w:r>
          </w:p>
        </w:tc>
        <w:tc>
          <w:tcPr>
            <w:tcW w:w="90"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w:t>
            </w:r>
          </w:p>
        </w:tc>
        <w:tc>
          <w:tcPr>
            <w:tcW w:w="90" w:type="dxa"/>
            <w:tcBorders/>
            <w:vAlign w:val="center"/>
          </w:tcPr>
          <w:p>
            <w:pPr>
              <w:pStyle w:val="TableContents"/>
              <w:bidi w:val="0"/>
              <w:spacing w:before="0" w:after="283"/>
              <w:jc w:val="left"/>
              <w:rPr/>
            </w:pPr>
            <w:r>
              <w:rPr/>
              <w:t> </w:t>
            </w:r>
          </w:p>
        </w:tc>
        <w:tc>
          <w:tcPr>
            <w:tcW w:w="62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Shuimogou District Wenquan North Rd. United Family Chanson Bakery </w:t>
            </w:r>
          </w:p>
        </w:tc>
        <w:tc>
          <w:tcPr>
            <w:tcW w:w="90" w:type="dxa"/>
            <w:tcBorders/>
            <w:vAlign w:val="center"/>
          </w:tcPr>
          <w:p>
            <w:pPr>
              <w:pStyle w:val="TableContents"/>
              <w:bidi w:val="0"/>
              <w:spacing w:before="0" w:after="283"/>
              <w:jc w:val="left"/>
              <w:rPr/>
            </w:pPr>
            <w:r>
              <w:rPr/>
              <w:t> </w:t>
            </w:r>
          </w:p>
        </w:tc>
        <w:tc>
          <w:tcPr>
            <w:tcW w:w="22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Shijie Gongyuan</w:t>
            </w:r>
          </w:p>
        </w:tc>
        <w:tc>
          <w:tcPr>
            <w:tcW w:w="90"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36</w:t>
            </w:r>
          </w:p>
        </w:tc>
        <w:tc>
          <w:tcPr>
            <w:tcW w:w="90" w:type="dxa"/>
            <w:tcBorders/>
            <w:shd w:fill="CCEEFF" w:val="clear"/>
            <w:vAlign w:val="center"/>
          </w:tcPr>
          <w:p>
            <w:pPr>
              <w:pStyle w:val="TableContents"/>
              <w:bidi w:val="0"/>
              <w:spacing w:before="0" w:after="283"/>
              <w:jc w:val="left"/>
              <w:rPr/>
            </w:pPr>
            <w:r>
              <w:rPr/>
              <w:t> </w:t>
            </w:r>
          </w:p>
        </w:tc>
        <w:tc>
          <w:tcPr>
            <w:tcW w:w="625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Xinshi District Changchun South Rd. United Family Bakery</w:t>
            </w:r>
          </w:p>
        </w:tc>
        <w:tc>
          <w:tcPr>
            <w:tcW w:w="90" w:type="dxa"/>
            <w:tcBorders/>
            <w:shd w:fill="CCEEFF" w:val="clear"/>
            <w:vAlign w:val="center"/>
          </w:tcPr>
          <w:p>
            <w:pPr>
              <w:pStyle w:val="TableContents"/>
              <w:bidi w:val="0"/>
              <w:spacing w:before="0" w:after="283"/>
              <w:jc w:val="left"/>
              <w:rPr/>
            </w:pPr>
            <w:r>
              <w:rPr/>
              <w:t> </w:t>
            </w:r>
          </w:p>
        </w:tc>
        <w:tc>
          <w:tcPr>
            <w:tcW w:w="22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Meiju Phase Three Store </w:t>
            </w:r>
          </w:p>
        </w:tc>
        <w:tc>
          <w:tcPr>
            <w:tcW w:w="90"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37</w:t>
            </w:r>
          </w:p>
        </w:tc>
        <w:tc>
          <w:tcPr>
            <w:tcW w:w="90" w:type="dxa"/>
            <w:tcBorders/>
            <w:vAlign w:val="center"/>
          </w:tcPr>
          <w:p>
            <w:pPr>
              <w:pStyle w:val="TableContents"/>
              <w:bidi w:val="0"/>
              <w:spacing w:before="0" w:after="283"/>
              <w:jc w:val="left"/>
              <w:rPr/>
            </w:pPr>
            <w:r>
              <w:rPr/>
              <w:t> </w:t>
            </w:r>
          </w:p>
        </w:tc>
        <w:tc>
          <w:tcPr>
            <w:tcW w:w="62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Xinshi District Changsha Rd. United Family Chanson Bakery</w:t>
            </w:r>
          </w:p>
        </w:tc>
        <w:tc>
          <w:tcPr>
            <w:tcW w:w="90" w:type="dxa"/>
            <w:tcBorders/>
            <w:vAlign w:val="center"/>
          </w:tcPr>
          <w:p>
            <w:pPr>
              <w:pStyle w:val="TableContents"/>
              <w:bidi w:val="0"/>
              <w:spacing w:before="0" w:after="283"/>
              <w:jc w:val="left"/>
              <w:rPr/>
            </w:pPr>
            <w:r>
              <w:rPr/>
              <w:t> </w:t>
            </w:r>
          </w:p>
        </w:tc>
        <w:tc>
          <w:tcPr>
            <w:tcW w:w="22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Zhongnan Shangyue Cheng store</w:t>
            </w:r>
          </w:p>
        </w:tc>
        <w:tc>
          <w:tcPr>
            <w:tcW w:w="90"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38</w:t>
            </w:r>
          </w:p>
        </w:tc>
        <w:tc>
          <w:tcPr>
            <w:tcW w:w="90" w:type="dxa"/>
            <w:tcBorders/>
            <w:shd w:fill="CCEEFF" w:val="clear"/>
            <w:vAlign w:val="center"/>
          </w:tcPr>
          <w:p>
            <w:pPr>
              <w:pStyle w:val="TableContents"/>
              <w:bidi w:val="0"/>
              <w:spacing w:before="0" w:after="283"/>
              <w:jc w:val="left"/>
              <w:rPr/>
            </w:pPr>
            <w:r>
              <w:rPr/>
              <w:t> </w:t>
            </w:r>
          </w:p>
        </w:tc>
        <w:tc>
          <w:tcPr>
            <w:tcW w:w="625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Xinshi District Yinbin Rd. United Family George Chanson Bakery</w:t>
            </w:r>
          </w:p>
        </w:tc>
        <w:tc>
          <w:tcPr>
            <w:tcW w:w="90" w:type="dxa"/>
            <w:tcBorders/>
            <w:shd w:fill="CCEEFF" w:val="clear"/>
            <w:vAlign w:val="center"/>
          </w:tcPr>
          <w:p>
            <w:pPr>
              <w:pStyle w:val="TableContents"/>
              <w:bidi w:val="0"/>
              <w:spacing w:before="0" w:after="283"/>
              <w:jc w:val="left"/>
              <w:rPr/>
            </w:pPr>
            <w:r>
              <w:rPr/>
              <w:t> </w:t>
            </w:r>
          </w:p>
        </w:tc>
        <w:tc>
          <w:tcPr>
            <w:tcW w:w="22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Laiyin Zhuangyuan Store</w:t>
            </w:r>
          </w:p>
        </w:tc>
        <w:tc>
          <w:tcPr>
            <w:tcW w:w="90"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39</w:t>
            </w:r>
          </w:p>
        </w:tc>
        <w:tc>
          <w:tcPr>
            <w:tcW w:w="90" w:type="dxa"/>
            <w:tcBorders/>
            <w:vAlign w:val="center"/>
          </w:tcPr>
          <w:p>
            <w:pPr>
              <w:pStyle w:val="TableContents"/>
              <w:bidi w:val="0"/>
              <w:spacing w:before="0" w:after="283"/>
              <w:jc w:val="left"/>
              <w:rPr/>
            </w:pPr>
            <w:r>
              <w:rPr/>
              <w:t> </w:t>
            </w:r>
          </w:p>
        </w:tc>
        <w:tc>
          <w:tcPr>
            <w:tcW w:w="62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Xinshi District Suzhou East Rd. United Family Chanson Bakery</w:t>
            </w:r>
          </w:p>
        </w:tc>
        <w:tc>
          <w:tcPr>
            <w:tcW w:w="90" w:type="dxa"/>
            <w:tcBorders/>
            <w:vAlign w:val="center"/>
          </w:tcPr>
          <w:p>
            <w:pPr>
              <w:pStyle w:val="TableContents"/>
              <w:bidi w:val="0"/>
              <w:spacing w:before="0" w:after="283"/>
              <w:jc w:val="left"/>
              <w:rPr/>
            </w:pPr>
            <w:r>
              <w:rPr/>
              <w:t> </w:t>
            </w:r>
          </w:p>
        </w:tc>
        <w:tc>
          <w:tcPr>
            <w:tcW w:w="22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Xinzhou City Garden Store</w:t>
            </w:r>
          </w:p>
        </w:tc>
        <w:tc>
          <w:tcPr>
            <w:tcW w:w="90"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40</w:t>
            </w:r>
          </w:p>
        </w:tc>
        <w:tc>
          <w:tcPr>
            <w:tcW w:w="90" w:type="dxa"/>
            <w:tcBorders/>
            <w:shd w:fill="CCEEFF" w:val="clear"/>
            <w:vAlign w:val="center"/>
          </w:tcPr>
          <w:p>
            <w:pPr>
              <w:pStyle w:val="TableContents"/>
              <w:bidi w:val="0"/>
              <w:spacing w:before="0" w:after="283"/>
              <w:jc w:val="left"/>
              <w:rPr/>
            </w:pPr>
            <w:r>
              <w:rPr/>
              <w:t> </w:t>
            </w:r>
          </w:p>
        </w:tc>
        <w:tc>
          <w:tcPr>
            <w:tcW w:w="625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Tianshan District Dawan South Rd. Hemeijia George Chanson Bakery</w:t>
            </w:r>
          </w:p>
        </w:tc>
        <w:tc>
          <w:tcPr>
            <w:tcW w:w="90" w:type="dxa"/>
            <w:tcBorders/>
            <w:shd w:fill="CCEEFF" w:val="clear"/>
            <w:vAlign w:val="center"/>
          </w:tcPr>
          <w:p>
            <w:pPr>
              <w:pStyle w:val="TableContents"/>
              <w:bidi w:val="0"/>
              <w:spacing w:before="0" w:after="283"/>
              <w:jc w:val="left"/>
              <w:rPr/>
            </w:pPr>
            <w:r>
              <w:rPr/>
              <w:t> </w:t>
            </w:r>
          </w:p>
        </w:tc>
        <w:tc>
          <w:tcPr>
            <w:tcW w:w="22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Tianshan Vanke</w:t>
            </w:r>
          </w:p>
        </w:tc>
        <w:tc>
          <w:tcPr>
            <w:tcW w:w="90"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90" w:type="dxa"/>
            <w:tcBorders/>
            <w:vAlign w:val="center"/>
          </w:tcPr>
          <w:p>
            <w:pPr>
              <w:pStyle w:val="TableContents"/>
              <w:bidi w:val="0"/>
              <w:spacing w:before="0" w:after="283"/>
              <w:jc w:val="left"/>
              <w:rPr/>
            </w:pPr>
            <w:r>
              <w:rPr/>
              <w:t> </w:t>
            </w:r>
          </w:p>
        </w:tc>
        <w:tc>
          <w:tcPr>
            <w:tcW w:w="62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Shuimogou District Fengxiang Street Hemeijia George Chanson Bakery</w:t>
            </w:r>
          </w:p>
        </w:tc>
        <w:tc>
          <w:tcPr>
            <w:tcW w:w="90" w:type="dxa"/>
            <w:tcBorders/>
            <w:vAlign w:val="center"/>
          </w:tcPr>
          <w:p>
            <w:pPr>
              <w:pStyle w:val="TableContents"/>
              <w:bidi w:val="0"/>
              <w:spacing w:before="0" w:after="283"/>
              <w:jc w:val="left"/>
              <w:rPr/>
            </w:pPr>
            <w:r>
              <w:rPr/>
              <w:t> </w:t>
            </w:r>
          </w:p>
        </w:tc>
        <w:tc>
          <w:tcPr>
            <w:tcW w:w="22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Zijin Hui</w:t>
            </w:r>
          </w:p>
        </w:tc>
        <w:tc>
          <w:tcPr>
            <w:tcW w:w="90"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Same as above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w:t>
            </w:r>
          </w:p>
        </w:tc>
        <w:tc>
          <w:tcPr>
            <w:tcW w:w="90" w:type="dxa"/>
            <w:tcBorders/>
            <w:shd w:fill="CCEEFF" w:val="clear"/>
            <w:vAlign w:val="center"/>
          </w:tcPr>
          <w:p>
            <w:pPr>
              <w:pStyle w:val="TableContents"/>
              <w:bidi w:val="0"/>
              <w:spacing w:before="0" w:after="283"/>
              <w:jc w:val="left"/>
              <w:rPr/>
            </w:pPr>
            <w:r>
              <w:rPr/>
              <w:t> </w:t>
            </w:r>
          </w:p>
        </w:tc>
        <w:tc>
          <w:tcPr>
            <w:tcW w:w="625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Shuimogou District Fengxiang Street Hemeijia Song Coffee and Food Shop</w:t>
            </w:r>
          </w:p>
        </w:tc>
        <w:tc>
          <w:tcPr>
            <w:tcW w:w="90" w:type="dxa"/>
            <w:tcBorders/>
            <w:shd w:fill="CCEEFF" w:val="clear"/>
            <w:vAlign w:val="center"/>
          </w:tcPr>
          <w:p>
            <w:pPr>
              <w:pStyle w:val="TableContents"/>
              <w:bidi w:val="0"/>
              <w:spacing w:before="0" w:after="283"/>
              <w:jc w:val="left"/>
              <w:rPr/>
            </w:pPr>
            <w:r>
              <w:rPr/>
              <w:t> </w:t>
            </w:r>
          </w:p>
        </w:tc>
        <w:tc>
          <w:tcPr>
            <w:tcW w:w="22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Soul●Song Zijin Hui</w:t>
            </w:r>
          </w:p>
        </w:tc>
        <w:tc>
          <w:tcPr>
            <w:tcW w:w="90"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w:t>
            </w:r>
          </w:p>
        </w:tc>
        <w:tc>
          <w:tcPr>
            <w:tcW w:w="90" w:type="dxa"/>
            <w:tcBorders/>
            <w:vAlign w:val="center"/>
          </w:tcPr>
          <w:p>
            <w:pPr>
              <w:pStyle w:val="TableContents"/>
              <w:bidi w:val="0"/>
              <w:spacing w:before="0" w:after="283"/>
              <w:jc w:val="left"/>
              <w:rPr/>
            </w:pPr>
            <w:r>
              <w:rPr/>
              <w:t> </w:t>
            </w:r>
          </w:p>
        </w:tc>
        <w:tc>
          <w:tcPr>
            <w:tcW w:w="62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Xinshi District Siping Road Hemeijia George Chanson Bakery</w:t>
            </w:r>
          </w:p>
        </w:tc>
        <w:tc>
          <w:tcPr>
            <w:tcW w:w="90" w:type="dxa"/>
            <w:tcBorders/>
            <w:vAlign w:val="center"/>
          </w:tcPr>
          <w:p>
            <w:pPr>
              <w:pStyle w:val="TableContents"/>
              <w:bidi w:val="0"/>
              <w:spacing w:before="0" w:after="283"/>
              <w:jc w:val="left"/>
              <w:rPr/>
            </w:pPr>
            <w:r>
              <w:rPr/>
              <w:t> </w:t>
            </w:r>
          </w:p>
        </w:tc>
        <w:tc>
          <w:tcPr>
            <w:tcW w:w="22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Tongjia Peacock Mansion</w:t>
            </w:r>
          </w:p>
        </w:tc>
        <w:tc>
          <w:tcPr>
            <w:tcW w:w="90"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w:t>
            </w:r>
          </w:p>
        </w:tc>
        <w:tc>
          <w:tcPr>
            <w:tcW w:w="90" w:type="dxa"/>
            <w:tcBorders/>
            <w:shd w:fill="CCEEFF" w:val="clear"/>
            <w:vAlign w:val="center"/>
          </w:tcPr>
          <w:p>
            <w:pPr>
              <w:pStyle w:val="TableContents"/>
              <w:bidi w:val="0"/>
              <w:spacing w:before="0" w:after="283"/>
              <w:jc w:val="left"/>
              <w:rPr/>
            </w:pPr>
            <w:r>
              <w:rPr/>
              <w:t> </w:t>
            </w:r>
          </w:p>
        </w:tc>
        <w:tc>
          <w:tcPr>
            <w:tcW w:w="625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Shayibake District Karamay West Street George Chanson Bakery</w:t>
            </w:r>
          </w:p>
        </w:tc>
        <w:tc>
          <w:tcPr>
            <w:tcW w:w="90" w:type="dxa"/>
            <w:tcBorders/>
            <w:shd w:fill="CCEEFF" w:val="clear"/>
            <w:vAlign w:val="center"/>
          </w:tcPr>
          <w:p>
            <w:pPr>
              <w:pStyle w:val="TableContents"/>
              <w:bidi w:val="0"/>
              <w:spacing w:before="0" w:after="283"/>
              <w:jc w:val="left"/>
              <w:rPr/>
            </w:pPr>
            <w:r>
              <w:rPr/>
              <w:t> </w:t>
            </w:r>
          </w:p>
        </w:tc>
        <w:tc>
          <w:tcPr>
            <w:tcW w:w="22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Karamay West Street</w:t>
            </w:r>
          </w:p>
        </w:tc>
        <w:tc>
          <w:tcPr>
            <w:tcW w:w="90"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45</w:t>
            </w:r>
          </w:p>
        </w:tc>
        <w:tc>
          <w:tcPr>
            <w:tcW w:w="90" w:type="dxa"/>
            <w:tcBorders/>
            <w:vAlign w:val="center"/>
          </w:tcPr>
          <w:p>
            <w:pPr>
              <w:pStyle w:val="TableContents"/>
              <w:bidi w:val="0"/>
              <w:spacing w:before="0" w:after="283"/>
              <w:jc w:val="left"/>
              <w:rPr/>
            </w:pPr>
            <w:r>
              <w:rPr/>
              <w:t> </w:t>
            </w:r>
          </w:p>
        </w:tc>
        <w:tc>
          <w:tcPr>
            <w:tcW w:w="62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Shayibake District, Altay Road, Hemeijia George Chanson Bakery</w:t>
            </w:r>
          </w:p>
        </w:tc>
        <w:tc>
          <w:tcPr>
            <w:tcW w:w="90" w:type="dxa"/>
            <w:tcBorders/>
            <w:vAlign w:val="center"/>
          </w:tcPr>
          <w:p>
            <w:pPr>
              <w:pStyle w:val="TableContents"/>
              <w:bidi w:val="0"/>
              <w:spacing w:before="0" w:after="283"/>
              <w:jc w:val="left"/>
              <w:rPr/>
            </w:pPr>
            <w:r>
              <w:rPr/>
              <w:t> </w:t>
            </w:r>
          </w:p>
        </w:tc>
        <w:tc>
          <w:tcPr>
            <w:tcW w:w="22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Jiaheyuan</w:t>
            </w:r>
          </w:p>
        </w:tc>
        <w:tc>
          <w:tcPr>
            <w:tcW w:w="90"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46</w:t>
            </w:r>
          </w:p>
        </w:tc>
        <w:tc>
          <w:tcPr>
            <w:tcW w:w="90" w:type="dxa"/>
            <w:tcBorders/>
            <w:shd w:fill="CCEEFF" w:val="clear"/>
            <w:vAlign w:val="center"/>
          </w:tcPr>
          <w:p>
            <w:pPr>
              <w:pStyle w:val="TableContents"/>
              <w:bidi w:val="0"/>
              <w:spacing w:before="0" w:after="283"/>
              <w:jc w:val="left"/>
              <w:rPr/>
            </w:pPr>
            <w:r>
              <w:rPr/>
              <w:t> </w:t>
            </w:r>
          </w:p>
        </w:tc>
        <w:tc>
          <w:tcPr>
            <w:tcW w:w="625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Shayibake District, Yangtze River Road, Hemeijia Chanson Bakery</w:t>
            </w:r>
          </w:p>
        </w:tc>
        <w:tc>
          <w:tcPr>
            <w:tcW w:w="90" w:type="dxa"/>
            <w:tcBorders/>
            <w:shd w:fill="CCEEFF" w:val="clear"/>
            <w:vAlign w:val="center"/>
          </w:tcPr>
          <w:p>
            <w:pPr>
              <w:pStyle w:val="TableContents"/>
              <w:bidi w:val="0"/>
              <w:spacing w:before="0" w:after="283"/>
              <w:jc w:val="left"/>
              <w:rPr/>
            </w:pPr>
            <w:r>
              <w:rPr/>
              <w:t> </w:t>
            </w:r>
          </w:p>
        </w:tc>
        <w:tc>
          <w:tcPr>
            <w:tcW w:w="22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Yangtze River Road</w:t>
            </w:r>
          </w:p>
        </w:tc>
        <w:tc>
          <w:tcPr>
            <w:tcW w:w="90"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47</w:t>
            </w:r>
          </w:p>
        </w:tc>
        <w:tc>
          <w:tcPr>
            <w:tcW w:w="90" w:type="dxa"/>
            <w:tcBorders/>
            <w:vAlign w:val="center"/>
          </w:tcPr>
          <w:p>
            <w:pPr>
              <w:pStyle w:val="TableContents"/>
              <w:bidi w:val="0"/>
              <w:spacing w:before="0" w:after="283"/>
              <w:jc w:val="left"/>
              <w:rPr/>
            </w:pPr>
            <w:r>
              <w:rPr/>
              <w:t> </w:t>
            </w:r>
          </w:p>
        </w:tc>
        <w:tc>
          <w:tcPr>
            <w:tcW w:w="62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Xinshi District Hebei East Road George Chanson Hemeijia Bakery</w:t>
            </w:r>
          </w:p>
        </w:tc>
        <w:tc>
          <w:tcPr>
            <w:tcW w:w="90" w:type="dxa"/>
            <w:tcBorders/>
            <w:vAlign w:val="center"/>
          </w:tcPr>
          <w:p>
            <w:pPr>
              <w:pStyle w:val="TableContents"/>
              <w:bidi w:val="0"/>
              <w:spacing w:before="0" w:after="283"/>
              <w:jc w:val="left"/>
              <w:rPr/>
            </w:pPr>
            <w:r>
              <w:rPr/>
              <w:t> </w:t>
            </w:r>
          </w:p>
        </w:tc>
        <w:tc>
          <w:tcPr>
            <w:tcW w:w="22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Kangcheng Golf</w:t>
            </w:r>
          </w:p>
        </w:tc>
        <w:tc>
          <w:tcPr>
            <w:tcW w:w="90"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90"/>
        <w:gridCol w:w="3306"/>
        <w:gridCol w:w="90"/>
        <w:gridCol w:w="1857"/>
        <w:gridCol w:w="90"/>
        <w:gridCol w:w="4497"/>
      </w:tblGrid>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48</w:t>
            </w:r>
          </w:p>
        </w:tc>
        <w:tc>
          <w:tcPr>
            <w:tcW w:w="90" w:type="dxa"/>
            <w:tcBorders/>
            <w:shd w:fill="CCEEFF" w:val="clear"/>
            <w:vAlign w:val="center"/>
          </w:tcPr>
          <w:p>
            <w:pPr>
              <w:pStyle w:val="TableContents"/>
              <w:bidi w:val="0"/>
              <w:spacing w:before="0" w:after="283"/>
              <w:jc w:val="left"/>
              <w:rPr/>
            </w:pPr>
            <w:r>
              <w:rPr/>
              <w:t> </w:t>
            </w:r>
          </w:p>
        </w:tc>
        <w:tc>
          <w:tcPr>
            <w:tcW w:w="330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Tianshan District, Zhongqiao Second Alley, Meijia Song Coffee and Food Shop</w:t>
            </w:r>
          </w:p>
        </w:tc>
        <w:tc>
          <w:tcPr>
            <w:tcW w:w="90" w:type="dxa"/>
            <w:tcBorders/>
            <w:shd w:fill="CCEEFF" w:val="clear"/>
            <w:vAlign w:val="center"/>
          </w:tcPr>
          <w:p>
            <w:pPr>
              <w:pStyle w:val="TableContents"/>
              <w:bidi w:val="0"/>
              <w:spacing w:before="0" w:after="283"/>
              <w:jc w:val="left"/>
              <w:rPr/>
            </w:pPr>
            <w:r>
              <w:rPr/>
              <w:t> </w:t>
            </w:r>
          </w:p>
        </w:tc>
        <w:tc>
          <w:tcPr>
            <w:tcW w:w="18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Soul●Song Zhongqiao Second Alley</w:t>
            </w:r>
          </w:p>
        </w:tc>
        <w:tc>
          <w:tcPr>
            <w:tcW w:w="90" w:type="dxa"/>
            <w:tcBorders/>
            <w:shd w:fill="CCEEFF" w:val="clear"/>
            <w:vAlign w:val="center"/>
          </w:tcPr>
          <w:p>
            <w:pPr>
              <w:pStyle w:val="TableContents"/>
              <w:bidi w:val="0"/>
              <w:spacing w:before="0" w:after="283"/>
              <w:jc w:val="left"/>
              <w:rPr/>
            </w:pPr>
            <w:r>
              <w:rPr/>
              <w:t> </w:t>
            </w:r>
          </w:p>
        </w:tc>
        <w:tc>
          <w:tcPr>
            <w:tcW w:w="44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49</w:t>
            </w:r>
          </w:p>
        </w:tc>
        <w:tc>
          <w:tcPr>
            <w:tcW w:w="90" w:type="dxa"/>
            <w:tcBorders/>
            <w:vAlign w:val="center"/>
          </w:tcPr>
          <w:p>
            <w:pPr>
              <w:pStyle w:val="TableContents"/>
              <w:bidi w:val="0"/>
              <w:spacing w:before="0" w:after="283"/>
              <w:jc w:val="left"/>
              <w:rPr/>
            </w:pPr>
            <w:r>
              <w:rPr/>
              <w:t> </w:t>
            </w:r>
          </w:p>
        </w:tc>
        <w:tc>
          <w:tcPr>
            <w:tcW w:w="33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Gaoxin District (Xinshi District) Kashi East Road Chanson Hemeijia Bakery</w:t>
            </w:r>
          </w:p>
        </w:tc>
        <w:tc>
          <w:tcPr>
            <w:tcW w:w="90" w:type="dxa"/>
            <w:tcBorders/>
            <w:vAlign w:val="center"/>
          </w:tcPr>
          <w:p>
            <w:pPr>
              <w:pStyle w:val="TableContents"/>
              <w:bidi w:val="0"/>
              <w:spacing w:before="0" w:after="283"/>
              <w:jc w:val="left"/>
              <w:rPr/>
            </w:pPr>
            <w:r>
              <w:rPr/>
              <w:t> </w:t>
            </w:r>
          </w:p>
        </w:tc>
        <w:tc>
          <w:tcPr>
            <w:tcW w:w="18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Wuyue Garden City</w:t>
            </w:r>
          </w:p>
        </w:tc>
        <w:tc>
          <w:tcPr>
            <w:tcW w:w="90" w:type="dxa"/>
            <w:tcBorders/>
            <w:vAlign w:val="center"/>
          </w:tcPr>
          <w:p>
            <w:pPr>
              <w:pStyle w:val="TableContents"/>
              <w:bidi w:val="0"/>
              <w:spacing w:before="0" w:after="283"/>
              <w:jc w:val="left"/>
              <w:rPr/>
            </w:pPr>
            <w:r>
              <w:rPr/>
              <w:t> </w:t>
            </w:r>
          </w:p>
        </w:tc>
        <w:tc>
          <w:tcPr>
            <w:tcW w:w="44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50</w:t>
            </w:r>
          </w:p>
        </w:tc>
        <w:tc>
          <w:tcPr>
            <w:tcW w:w="90" w:type="dxa"/>
            <w:tcBorders/>
            <w:shd w:fill="CCEEFF" w:val="clear"/>
            <w:vAlign w:val="center"/>
          </w:tcPr>
          <w:p>
            <w:pPr>
              <w:pStyle w:val="TableContents"/>
              <w:bidi w:val="0"/>
              <w:spacing w:before="0" w:after="283"/>
              <w:jc w:val="left"/>
              <w:rPr/>
            </w:pPr>
            <w:r>
              <w:rPr/>
              <w:t> </w:t>
            </w:r>
          </w:p>
        </w:tc>
        <w:tc>
          <w:tcPr>
            <w:tcW w:w="330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Gaoxin District (Xinshi District) Kashi East Road Hemeijia Song Coffee and Food Shop</w:t>
            </w:r>
          </w:p>
        </w:tc>
        <w:tc>
          <w:tcPr>
            <w:tcW w:w="90" w:type="dxa"/>
            <w:tcBorders/>
            <w:shd w:fill="CCEEFF" w:val="clear"/>
            <w:vAlign w:val="center"/>
          </w:tcPr>
          <w:p>
            <w:pPr>
              <w:pStyle w:val="TableContents"/>
              <w:bidi w:val="0"/>
              <w:spacing w:before="0" w:after="283"/>
              <w:jc w:val="left"/>
              <w:rPr/>
            </w:pPr>
            <w:r>
              <w:rPr/>
              <w:t> </w:t>
            </w:r>
          </w:p>
        </w:tc>
        <w:tc>
          <w:tcPr>
            <w:tcW w:w="18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Soul●Song Wuyue Garden City</w:t>
            </w:r>
          </w:p>
        </w:tc>
        <w:tc>
          <w:tcPr>
            <w:tcW w:w="90" w:type="dxa"/>
            <w:tcBorders/>
            <w:shd w:fill="CCEEFF" w:val="clear"/>
            <w:vAlign w:val="center"/>
          </w:tcPr>
          <w:p>
            <w:pPr>
              <w:pStyle w:val="TableContents"/>
              <w:bidi w:val="0"/>
              <w:spacing w:before="0" w:after="283"/>
              <w:jc w:val="left"/>
              <w:rPr/>
            </w:pPr>
            <w:r>
              <w:rPr/>
              <w:t> </w:t>
            </w:r>
          </w:p>
        </w:tc>
        <w:tc>
          <w:tcPr>
            <w:tcW w:w="44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w:t>
            </w:r>
          </w:p>
        </w:tc>
        <w:tc>
          <w:tcPr>
            <w:tcW w:w="90" w:type="dxa"/>
            <w:tcBorders/>
            <w:vAlign w:val="center"/>
          </w:tcPr>
          <w:p>
            <w:pPr>
              <w:pStyle w:val="TableContents"/>
              <w:bidi w:val="0"/>
              <w:spacing w:before="0" w:after="283"/>
              <w:jc w:val="left"/>
              <w:rPr/>
            </w:pPr>
            <w:r>
              <w:rPr/>
              <w:t> </w:t>
            </w:r>
          </w:p>
        </w:tc>
        <w:tc>
          <w:tcPr>
            <w:tcW w:w="33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Gaoxin District (Xinshi District) East Station Road Chanson Hemeijia Bakery</w:t>
            </w:r>
          </w:p>
        </w:tc>
        <w:tc>
          <w:tcPr>
            <w:tcW w:w="90" w:type="dxa"/>
            <w:tcBorders/>
            <w:vAlign w:val="center"/>
          </w:tcPr>
          <w:p>
            <w:pPr>
              <w:pStyle w:val="TableContents"/>
              <w:bidi w:val="0"/>
              <w:spacing w:before="0" w:after="283"/>
              <w:jc w:val="left"/>
              <w:rPr/>
            </w:pPr>
            <w:r>
              <w:rPr/>
              <w:t> </w:t>
            </w:r>
          </w:p>
        </w:tc>
        <w:tc>
          <w:tcPr>
            <w:tcW w:w="18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Dongzhan Road Four Seasons Flower City</w:t>
            </w:r>
          </w:p>
        </w:tc>
        <w:tc>
          <w:tcPr>
            <w:tcW w:w="90" w:type="dxa"/>
            <w:tcBorders/>
            <w:vAlign w:val="center"/>
          </w:tcPr>
          <w:p>
            <w:pPr>
              <w:pStyle w:val="TableContents"/>
              <w:bidi w:val="0"/>
              <w:spacing w:before="0" w:after="283"/>
              <w:jc w:val="left"/>
              <w:rPr/>
            </w:pPr>
            <w:r>
              <w:rPr/>
              <w:t> </w:t>
            </w:r>
          </w:p>
        </w:tc>
        <w:tc>
          <w:tcPr>
            <w:tcW w:w="44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52</w:t>
            </w:r>
          </w:p>
        </w:tc>
        <w:tc>
          <w:tcPr>
            <w:tcW w:w="90" w:type="dxa"/>
            <w:tcBorders/>
            <w:shd w:fill="CCEEFF" w:val="clear"/>
            <w:vAlign w:val="center"/>
          </w:tcPr>
          <w:p>
            <w:pPr>
              <w:pStyle w:val="TableContents"/>
              <w:bidi w:val="0"/>
              <w:spacing w:before="0" w:after="283"/>
              <w:jc w:val="left"/>
              <w:rPr/>
            </w:pPr>
            <w:r>
              <w:rPr/>
              <w:t> </w:t>
            </w:r>
          </w:p>
        </w:tc>
        <w:tc>
          <w:tcPr>
            <w:tcW w:w="330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Urumqi Midong District Chanson Bakery</w:t>
            </w:r>
          </w:p>
        </w:tc>
        <w:tc>
          <w:tcPr>
            <w:tcW w:w="90" w:type="dxa"/>
            <w:tcBorders/>
            <w:shd w:fill="CCEEFF" w:val="clear"/>
            <w:vAlign w:val="center"/>
          </w:tcPr>
          <w:p>
            <w:pPr>
              <w:pStyle w:val="TableContents"/>
              <w:bidi w:val="0"/>
              <w:spacing w:before="0" w:after="283"/>
              <w:jc w:val="left"/>
              <w:rPr/>
            </w:pPr>
            <w:r>
              <w:rPr/>
              <w:t> </w:t>
            </w:r>
          </w:p>
        </w:tc>
        <w:tc>
          <w:tcPr>
            <w:tcW w:w="18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Midong Wuyue Plaza</w:t>
            </w:r>
          </w:p>
        </w:tc>
        <w:tc>
          <w:tcPr>
            <w:tcW w:w="90" w:type="dxa"/>
            <w:tcBorders/>
            <w:shd w:fill="CCEEFF" w:val="clear"/>
            <w:vAlign w:val="center"/>
          </w:tcPr>
          <w:p>
            <w:pPr>
              <w:pStyle w:val="TableContents"/>
              <w:bidi w:val="0"/>
              <w:spacing w:before="0" w:after="283"/>
              <w:jc w:val="left"/>
              <w:rPr/>
            </w:pPr>
            <w:r>
              <w:rPr/>
              <w:t> </w:t>
            </w:r>
          </w:p>
        </w:tc>
        <w:tc>
          <w:tcPr>
            <w:tcW w:w="44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53</w:t>
            </w:r>
          </w:p>
        </w:tc>
        <w:tc>
          <w:tcPr>
            <w:tcW w:w="90" w:type="dxa"/>
            <w:tcBorders/>
            <w:vAlign w:val="center"/>
          </w:tcPr>
          <w:p>
            <w:pPr>
              <w:pStyle w:val="TableContents"/>
              <w:bidi w:val="0"/>
              <w:spacing w:before="0" w:after="283"/>
              <w:jc w:val="left"/>
              <w:rPr/>
            </w:pPr>
            <w:r>
              <w:rPr/>
              <w:t> </w:t>
            </w:r>
          </w:p>
        </w:tc>
        <w:tc>
          <w:tcPr>
            <w:tcW w:w="33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Gaoxin District (Xinshi District) Beijing North Road Chanson Meijia Bakery</w:t>
            </w:r>
          </w:p>
        </w:tc>
        <w:tc>
          <w:tcPr>
            <w:tcW w:w="90" w:type="dxa"/>
            <w:tcBorders/>
            <w:vAlign w:val="center"/>
          </w:tcPr>
          <w:p>
            <w:pPr>
              <w:pStyle w:val="TableContents"/>
              <w:bidi w:val="0"/>
              <w:spacing w:before="0" w:after="283"/>
              <w:jc w:val="left"/>
              <w:rPr/>
            </w:pPr>
            <w:r>
              <w:rPr/>
              <w:t> </w:t>
            </w:r>
          </w:p>
        </w:tc>
        <w:tc>
          <w:tcPr>
            <w:tcW w:w="18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Jiafengyuan</w:t>
            </w:r>
          </w:p>
        </w:tc>
        <w:tc>
          <w:tcPr>
            <w:tcW w:w="90" w:type="dxa"/>
            <w:tcBorders/>
            <w:vAlign w:val="center"/>
          </w:tcPr>
          <w:p>
            <w:pPr>
              <w:pStyle w:val="TableContents"/>
              <w:bidi w:val="0"/>
              <w:spacing w:before="0" w:after="283"/>
              <w:jc w:val="left"/>
              <w:rPr/>
            </w:pPr>
            <w:r>
              <w:rPr/>
              <w:t> </w:t>
            </w:r>
          </w:p>
        </w:tc>
        <w:tc>
          <w:tcPr>
            <w:tcW w:w="44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54</w:t>
            </w:r>
          </w:p>
        </w:tc>
        <w:tc>
          <w:tcPr>
            <w:tcW w:w="90" w:type="dxa"/>
            <w:tcBorders/>
            <w:shd w:fill="CCEEFF" w:val="clear"/>
            <w:vAlign w:val="center"/>
          </w:tcPr>
          <w:p>
            <w:pPr>
              <w:pStyle w:val="TableContents"/>
              <w:bidi w:val="0"/>
              <w:spacing w:before="0" w:after="283"/>
              <w:jc w:val="left"/>
              <w:rPr/>
            </w:pPr>
            <w:r>
              <w:rPr/>
              <w:t> </w:t>
            </w:r>
          </w:p>
        </w:tc>
        <w:tc>
          <w:tcPr>
            <w:tcW w:w="330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Shuimogou District Hongguangshan Rd. Chanson Bakery </w:t>
            </w:r>
          </w:p>
        </w:tc>
        <w:tc>
          <w:tcPr>
            <w:tcW w:w="90" w:type="dxa"/>
            <w:tcBorders/>
            <w:shd w:fill="CCEEFF" w:val="clear"/>
            <w:vAlign w:val="center"/>
          </w:tcPr>
          <w:p>
            <w:pPr>
              <w:pStyle w:val="TableContents"/>
              <w:bidi w:val="0"/>
              <w:spacing w:before="0" w:after="283"/>
              <w:jc w:val="left"/>
              <w:rPr/>
            </w:pPr>
            <w:r>
              <w:rPr/>
              <w:t> </w:t>
            </w:r>
          </w:p>
        </w:tc>
        <w:tc>
          <w:tcPr>
            <w:tcW w:w="18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Wuyue Square</w:t>
            </w:r>
          </w:p>
        </w:tc>
        <w:tc>
          <w:tcPr>
            <w:tcW w:w="90" w:type="dxa"/>
            <w:tcBorders/>
            <w:shd w:fill="CCEEFF" w:val="clear"/>
            <w:vAlign w:val="center"/>
          </w:tcPr>
          <w:p>
            <w:pPr>
              <w:pStyle w:val="TableContents"/>
              <w:bidi w:val="0"/>
              <w:spacing w:before="0" w:after="283"/>
              <w:jc w:val="left"/>
              <w:rPr/>
            </w:pPr>
            <w:r>
              <w:rPr/>
              <w:t> </w:t>
            </w:r>
          </w:p>
        </w:tc>
        <w:tc>
          <w:tcPr>
            <w:tcW w:w="4497"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 of UFG – owned 100% by Ms. Hui Wang and operated under agreements among Ms. Hui Wang, this entity, and Xinjiang United Family</w:t>
            </w:r>
          </w:p>
        </w:tc>
      </w:tr>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55</w:t>
            </w:r>
          </w:p>
        </w:tc>
        <w:tc>
          <w:tcPr>
            <w:tcW w:w="90" w:type="dxa"/>
            <w:tcBorders/>
            <w:vAlign w:val="center"/>
          </w:tcPr>
          <w:p>
            <w:pPr>
              <w:pStyle w:val="TableContents"/>
              <w:bidi w:val="0"/>
              <w:spacing w:before="0" w:after="283"/>
              <w:jc w:val="left"/>
              <w:rPr/>
            </w:pPr>
            <w:r>
              <w:rPr/>
              <w:t> </w:t>
            </w:r>
          </w:p>
        </w:tc>
        <w:tc>
          <w:tcPr>
            <w:tcW w:w="33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Xinshi District Beijing South Rd. George Chanson Bakery </w:t>
            </w:r>
          </w:p>
        </w:tc>
        <w:tc>
          <w:tcPr>
            <w:tcW w:w="90" w:type="dxa"/>
            <w:tcBorders/>
            <w:vAlign w:val="center"/>
          </w:tcPr>
          <w:p>
            <w:pPr>
              <w:pStyle w:val="TableContents"/>
              <w:bidi w:val="0"/>
              <w:spacing w:before="0" w:after="283"/>
              <w:jc w:val="left"/>
              <w:rPr/>
            </w:pPr>
            <w:r>
              <w:rPr/>
              <w:t> </w:t>
            </w:r>
          </w:p>
        </w:tc>
        <w:tc>
          <w:tcPr>
            <w:tcW w:w="18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Xidan</w:t>
            </w:r>
          </w:p>
        </w:tc>
        <w:tc>
          <w:tcPr>
            <w:tcW w:w="90" w:type="dxa"/>
            <w:tcBorders/>
            <w:vAlign w:val="center"/>
          </w:tcPr>
          <w:p>
            <w:pPr>
              <w:pStyle w:val="TableContents"/>
              <w:bidi w:val="0"/>
              <w:spacing w:before="0" w:after="283"/>
              <w:jc w:val="left"/>
              <w:rPr/>
            </w:pPr>
            <w:r>
              <w:rPr/>
              <w:t> </w:t>
            </w:r>
          </w:p>
        </w:tc>
        <w:tc>
          <w:tcPr>
            <w:tcW w:w="44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56</w:t>
            </w:r>
          </w:p>
        </w:tc>
        <w:tc>
          <w:tcPr>
            <w:tcW w:w="90" w:type="dxa"/>
            <w:tcBorders/>
            <w:shd w:fill="CCEEFF" w:val="clear"/>
            <w:vAlign w:val="center"/>
          </w:tcPr>
          <w:p>
            <w:pPr>
              <w:pStyle w:val="TableContents"/>
              <w:bidi w:val="0"/>
              <w:spacing w:before="0" w:after="283"/>
              <w:jc w:val="left"/>
              <w:rPr/>
            </w:pPr>
            <w:r>
              <w:rPr/>
              <w:t> </w:t>
            </w:r>
          </w:p>
        </w:tc>
        <w:tc>
          <w:tcPr>
            <w:tcW w:w="330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Xinjiang United Family Trading Co., Ltd. Tianshan District Chanson Bakery</w:t>
            </w:r>
          </w:p>
        </w:tc>
        <w:tc>
          <w:tcPr>
            <w:tcW w:w="90" w:type="dxa"/>
            <w:tcBorders/>
            <w:shd w:fill="CCEEFF" w:val="clear"/>
            <w:vAlign w:val="center"/>
          </w:tcPr>
          <w:p>
            <w:pPr>
              <w:pStyle w:val="TableContents"/>
              <w:bidi w:val="0"/>
              <w:spacing w:before="0" w:after="283"/>
              <w:jc w:val="left"/>
              <w:rPr/>
            </w:pPr>
            <w:r>
              <w:rPr/>
              <w:t> </w:t>
            </w:r>
          </w:p>
        </w:tc>
        <w:tc>
          <w:tcPr>
            <w:tcW w:w="18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Tianbai</w:t>
            </w:r>
          </w:p>
        </w:tc>
        <w:tc>
          <w:tcPr>
            <w:tcW w:w="90" w:type="dxa"/>
            <w:tcBorders/>
            <w:shd w:fill="CCEEFF" w:val="clear"/>
            <w:vAlign w:val="center"/>
          </w:tcPr>
          <w:p>
            <w:pPr>
              <w:pStyle w:val="TableContents"/>
              <w:bidi w:val="0"/>
              <w:spacing w:before="0" w:after="283"/>
              <w:jc w:val="left"/>
              <w:rPr/>
            </w:pPr>
            <w:r>
              <w:rPr/>
              <w:t> </w:t>
            </w:r>
          </w:p>
        </w:tc>
        <w:tc>
          <w:tcPr>
            <w:tcW w:w="44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branch office of Xinjiang United Family</w:t>
            </w:r>
          </w:p>
        </w:tc>
      </w:tr>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57</w:t>
            </w:r>
          </w:p>
        </w:tc>
        <w:tc>
          <w:tcPr>
            <w:tcW w:w="90" w:type="dxa"/>
            <w:tcBorders/>
            <w:vAlign w:val="center"/>
          </w:tcPr>
          <w:p>
            <w:pPr>
              <w:pStyle w:val="TableContents"/>
              <w:bidi w:val="0"/>
              <w:spacing w:before="0" w:after="283"/>
              <w:jc w:val="left"/>
              <w:rPr/>
            </w:pPr>
            <w:r>
              <w:rPr/>
              <w:t> </w:t>
            </w:r>
          </w:p>
        </w:tc>
        <w:tc>
          <w:tcPr>
            <w:tcW w:w="33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Xinjiang United Family Trading Co., Ltd. Chanson Bakery Urumqi Branch</w:t>
            </w:r>
          </w:p>
        </w:tc>
        <w:tc>
          <w:tcPr>
            <w:tcW w:w="90" w:type="dxa"/>
            <w:tcBorders/>
            <w:vAlign w:val="center"/>
          </w:tcPr>
          <w:p>
            <w:pPr>
              <w:pStyle w:val="TableContents"/>
              <w:bidi w:val="0"/>
              <w:spacing w:before="0" w:after="283"/>
              <w:jc w:val="left"/>
              <w:rPr/>
            </w:pPr>
            <w:r>
              <w:rPr/>
              <w:t> </w:t>
            </w:r>
          </w:p>
        </w:tc>
        <w:tc>
          <w:tcPr>
            <w:tcW w:w="18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Wenhua</w:t>
            </w:r>
          </w:p>
        </w:tc>
        <w:tc>
          <w:tcPr>
            <w:tcW w:w="90" w:type="dxa"/>
            <w:tcBorders/>
            <w:vAlign w:val="center"/>
          </w:tcPr>
          <w:p>
            <w:pPr>
              <w:pStyle w:val="TableContents"/>
              <w:bidi w:val="0"/>
              <w:spacing w:before="0" w:after="283"/>
              <w:jc w:val="left"/>
              <w:rPr/>
            </w:pPr>
            <w:r>
              <w:rPr/>
              <w:t> </w:t>
            </w:r>
          </w:p>
        </w:tc>
        <w:tc>
          <w:tcPr>
            <w:tcW w:w="44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branch office of Xinjiang United Family</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58</w:t>
            </w:r>
          </w:p>
        </w:tc>
        <w:tc>
          <w:tcPr>
            <w:tcW w:w="90" w:type="dxa"/>
            <w:tcBorders/>
            <w:shd w:fill="CCEEFF" w:val="clear"/>
            <w:vAlign w:val="center"/>
          </w:tcPr>
          <w:p>
            <w:pPr>
              <w:pStyle w:val="TableContents"/>
              <w:bidi w:val="0"/>
              <w:spacing w:before="0" w:after="283"/>
              <w:jc w:val="left"/>
              <w:rPr/>
            </w:pPr>
            <w:r>
              <w:rPr/>
              <w:t> </w:t>
            </w:r>
          </w:p>
        </w:tc>
        <w:tc>
          <w:tcPr>
            <w:tcW w:w="330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Xinjiang United Family Trading Co., Ltd. Urumqi Meimei Chanson Bakery</w:t>
            </w:r>
          </w:p>
        </w:tc>
        <w:tc>
          <w:tcPr>
            <w:tcW w:w="90" w:type="dxa"/>
            <w:tcBorders/>
            <w:shd w:fill="CCEEFF" w:val="clear"/>
            <w:vAlign w:val="center"/>
          </w:tcPr>
          <w:p>
            <w:pPr>
              <w:pStyle w:val="TableContents"/>
              <w:bidi w:val="0"/>
              <w:spacing w:before="0" w:after="283"/>
              <w:jc w:val="left"/>
              <w:rPr/>
            </w:pPr>
            <w:r>
              <w:rPr/>
              <w:t> </w:t>
            </w:r>
          </w:p>
        </w:tc>
        <w:tc>
          <w:tcPr>
            <w:tcW w:w="18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Meimei</w:t>
            </w:r>
          </w:p>
        </w:tc>
        <w:tc>
          <w:tcPr>
            <w:tcW w:w="90" w:type="dxa"/>
            <w:tcBorders/>
            <w:shd w:fill="CCEEFF" w:val="clear"/>
            <w:vAlign w:val="center"/>
          </w:tcPr>
          <w:p>
            <w:pPr>
              <w:pStyle w:val="TableContents"/>
              <w:bidi w:val="0"/>
              <w:spacing w:before="0" w:after="283"/>
              <w:jc w:val="left"/>
              <w:rPr/>
            </w:pPr>
            <w:r>
              <w:rPr/>
              <w:t> </w:t>
            </w:r>
          </w:p>
        </w:tc>
        <w:tc>
          <w:tcPr>
            <w:tcW w:w="44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branch office of Xinjiang United Family</w:t>
            </w:r>
          </w:p>
        </w:tc>
      </w:tr>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59</w:t>
            </w:r>
          </w:p>
        </w:tc>
        <w:tc>
          <w:tcPr>
            <w:tcW w:w="90" w:type="dxa"/>
            <w:tcBorders/>
            <w:vAlign w:val="center"/>
          </w:tcPr>
          <w:p>
            <w:pPr>
              <w:pStyle w:val="TableContents"/>
              <w:bidi w:val="0"/>
              <w:spacing w:before="0" w:after="283"/>
              <w:jc w:val="left"/>
              <w:rPr/>
            </w:pPr>
            <w:r>
              <w:rPr/>
              <w:t> </w:t>
            </w:r>
          </w:p>
        </w:tc>
        <w:tc>
          <w:tcPr>
            <w:tcW w:w="33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Xinjiang United Family Trading Co., Ltd. Coffee Bakery Branch</w:t>
            </w:r>
          </w:p>
        </w:tc>
        <w:tc>
          <w:tcPr>
            <w:tcW w:w="90" w:type="dxa"/>
            <w:tcBorders/>
            <w:vAlign w:val="center"/>
          </w:tcPr>
          <w:p>
            <w:pPr>
              <w:pStyle w:val="TableContents"/>
              <w:bidi w:val="0"/>
              <w:spacing w:before="0" w:after="283"/>
              <w:jc w:val="left"/>
              <w:rPr/>
            </w:pPr>
            <w:r>
              <w:rPr/>
              <w:t> </w:t>
            </w:r>
          </w:p>
        </w:tc>
        <w:tc>
          <w:tcPr>
            <w:tcW w:w="18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Meimei No.3 </w:t>
            </w:r>
          </w:p>
        </w:tc>
        <w:tc>
          <w:tcPr>
            <w:tcW w:w="90" w:type="dxa"/>
            <w:tcBorders/>
            <w:vAlign w:val="center"/>
          </w:tcPr>
          <w:p>
            <w:pPr>
              <w:pStyle w:val="TableContents"/>
              <w:bidi w:val="0"/>
              <w:spacing w:before="0" w:after="283"/>
              <w:jc w:val="left"/>
              <w:rPr/>
            </w:pPr>
            <w:r>
              <w:rPr/>
              <w:t> </w:t>
            </w:r>
          </w:p>
        </w:tc>
        <w:tc>
          <w:tcPr>
            <w:tcW w:w="44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branch office of Xinjiang United Family</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60</w:t>
            </w:r>
          </w:p>
        </w:tc>
        <w:tc>
          <w:tcPr>
            <w:tcW w:w="90" w:type="dxa"/>
            <w:tcBorders/>
            <w:shd w:fill="CCEEFF" w:val="clear"/>
            <w:vAlign w:val="center"/>
          </w:tcPr>
          <w:p>
            <w:pPr>
              <w:pStyle w:val="TableContents"/>
              <w:bidi w:val="0"/>
              <w:spacing w:before="0" w:after="283"/>
              <w:jc w:val="left"/>
              <w:rPr/>
            </w:pPr>
            <w:r>
              <w:rPr/>
              <w:t> </w:t>
            </w:r>
          </w:p>
        </w:tc>
        <w:tc>
          <w:tcPr>
            <w:tcW w:w="330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Xinjiang United Family Trading Co., Ltd. Ruitai Chanson Bakery</w:t>
            </w:r>
          </w:p>
        </w:tc>
        <w:tc>
          <w:tcPr>
            <w:tcW w:w="90" w:type="dxa"/>
            <w:tcBorders/>
            <w:shd w:fill="CCEEFF" w:val="clear"/>
            <w:vAlign w:val="center"/>
          </w:tcPr>
          <w:p>
            <w:pPr>
              <w:pStyle w:val="TableContents"/>
              <w:bidi w:val="0"/>
              <w:spacing w:before="0" w:after="283"/>
              <w:jc w:val="left"/>
              <w:rPr/>
            </w:pPr>
            <w:r>
              <w:rPr/>
              <w:t> </w:t>
            </w:r>
          </w:p>
        </w:tc>
        <w:tc>
          <w:tcPr>
            <w:tcW w:w="18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Ruitai</w:t>
            </w:r>
          </w:p>
        </w:tc>
        <w:tc>
          <w:tcPr>
            <w:tcW w:w="90" w:type="dxa"/>
            <w:tcBorders/>
            <w:shd w:fill="CCEEFF" w:val="clear"/>
            <w:vAlign w:val="center"/>
          </w:tcPr>
          <w:p>
            <w:pPr>
              <w:pStyle w:val="TableContents"/>
              <w:bidi w:val="0"/>
              <w:spacing w:before="0" w:after="283"/>
              <w:jc w:val="left"/>
              <w:rPr/>
            </w:pPr>
            <w:r>
              <w:rPr/>
              <w:t> </w:t>
            </w:r>
          </w:p>
        </w:tc>
        <w:tc>
          <w:tcPr>
            <w:tcW w:w="4497"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store operated by Xinjiang United Family, not a separate legal entity</w:t>
            </w:r>
          </w:p>
        </w:tc>
      </w:tr>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w:t>
            </w:r>
          </w:p>
        </w:tc>
        <w:tc>
          <w:tcPr>
            <w:tcW w:w="90" w:type="dxa"/>
            <w:tcBorders/>
            <w:vAlign w:val="center"/>
          </w:tcPr>
          <w:p>
            <w:pPr>
              <w:pStyle w:val="TableContents"/>
              <w:bidi w:val="0"/>
              <w:spacing w:before="0" w:after="283"/>
              <w:jc w:val="left"/>
              <w:rPr/>
            </w:pPr>
            <w:r>
              <w:rPr/>
              <w:t> </w:t>
            </w:r>
          </w:p>
        </w:tc>
        <w:tc>
          <w:tcPr>
            <w:tcW w:w="33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Chanson 23rd Street LLC</w:t>
            </w:r>
          </w:p>
        </w:tc>
        <w:tc>
          <w:tcPr>
            <w:tcW w:w="90" w:type="dxa"/>
            <w:tcBorders/>
            <w:vAlign w:val="center"/>
          </w:tcPr>
          <w:p>
            <w:pPr>
              <w:pStyle w:val="TableContents"/>
              <w:bidi w:val="0"/>
              <w:spacing w:before="0" w:after="283"/>
              <w:jc w:val="left"/>
              <w:rPr/>
            </w:pPr>
            <w:r>
              <w:rPr/>
              <w:t> </w:t>
            </w:r>
          </w:p>
        </w:tc>
        <w:tc>
          <w:tcPr>
            <w:tcW w:w="18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Chanson 23rd Street</w:t>
            </w:r>
          </w:p>
        </w:tc>
        <w:tc>
          <w:tcPr>
            <w:tcW w:w="90" w:type="dxa"/>
            <w:tcBorders/>
            <w:vAlign w:val="center"/>
          </w:tcPr>
          <w:p>
            <w:pPr>
              <w:pStyle w:val="TableContents"/>
              <w:bidi w:val="0"/>
              <w:spacing w:before="0" w:after="283"/>
              <w:jc w:val="left"/>
              <w:rPr/>
            </w:pPr>
            <w:r>
              <w:rPr/>
              <w:t> </w:t>
            </w:r>
          </w:p>
        </w:tc>
        <w:tc>
          <w:tcPr>
            <w:tcW w:w="44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wholly owned indirect subsidiary of Xinjiang United Family</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62</w:t>
            </w:r>
          </w:p>
        </w:tc>
        <w:tc>
          <w:tcPr>
            <w:tcW w:w="90" w:type="dxa"/>
            <w:tcBorders/>
            <w:shd w:fill="CCEEFF" w:val="clear"/>
            <w:vAlign w:val="center"/>
          </w:tcPr>
          <w:p>
            <w:pPr>
              <w:pStyle w:val="TableContents"/>
              <w:bidi w:val="0"/>
              <w:spacing w:before="0" w:after="283"/>
              <w:jc w:val="left"/>
              <w:rPr/>
            </w:pPr>
            <w:r>
              <w:rPr/>
              <w:t> </w:t>
            </w:r>
          </w:p>
        </w:tc>
        <w:tc>
          <w:tcPr>
            <w:tcW w:w="330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Chanson 1293 3rd Ave LLC</w:t>
            </w:r>
          </w:p>
        </w:tc>
        <w:tc>
          <w:tcPr>
            <w:tcW w:w="90" w:type="dxa"/>
            <w:tcBorders/>
            <w:shd w:fill="CCEEFF" w:val="clear"/>
            <w:vAlign w:val="center"/>
          </w:tcPr>
          <w:p>
            <w:pPr>
              <w:pStyle w:val="TableContents"/>
              <w:bidi w:val="0"/>
              <w:spacing w:before="0" w:after="283"/>
              <w:jc w:val="left"/>
              <w:rPr/>
            </w:pPr>
            <w:r>
              <w:rPr/>
              <w:t> </w:t>
            </w:r>
          </w:p>
        </w:tc>
        <w:tc>
          <w:tcPr>
            <w:tcW w:w="18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Chanson 3rd Ave</w:t>
            </w:r>
          </w:p>
        </w:tc>
        <w:tc>
          <w:tcPr>
            <w:tcW w:w="90" w:type="dxa"/>
            <w:tcBorders/>
            <w:shd w:fill="CCEEFF" w:val="clear"/>
            <w:vAlign w:val="center"/>
          </w:tcPr>
          <w:p>
            <w:pPr>
              <w:pStyle w:val="TableContents"/>
              <w:bidi w:val="0"/>
              <w:spacing w:before="0" w:after="283"/>
              <w:jc w:val="left"/>
              <w:rPr/>
            </w:pPr>
            <w:r>
              <w:rPr/>
              <w:t> </w:t>
            </w:r>
          </w:p>
        </w:tc>
        <w:tc>
          <w:tcPr>
            <w:tcW w:w="44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63</w:t>
            </w:r>
          </w:p>
        </w:tc>
        <w:tc>
          <w:tcPr>
            <w:tcW w:w="90" w:type="dxa"/>
            <w:tcBorders/>
            <w:vAlign w:val="center"/>
          </w:tcPr>
          <w:p>
            <w:pPr>
              <w:pStyle w:val="TableContents"/>
              <w:bidi w:val="0"/>
              <w:spacing w:before="0" w:after="283"/>
              <w:jc w:val="left"/>
              <w:rPr/>
            </w:pPr>
            <w:r>
              <w:rPr/>
              <w:t> </w:t>
            </w:r>
          </w:p>
        </w:tc>
        <w:tc>
          <w:tcPr>
            <w:tcW w:w="33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Chanson 2040 Broadway LLC</w:t>
            </w:r>
          </w:p>
        </w:tc>
        <w:tc>
          <w:tcPr>
            <w:tcW w:w="90" w:type="dxa"/>
            <w:tcBorders/>
            <w:vAlign w:val="center"/>
          </w:tcPr>
          <w:p>
            <w:pPr>
              <w:pStyle w:val="TableContents"/>
              <w:bidi w:val="0"/>
              <w:spacing w:before="0" w:after="283"/>
              <w:jc w:val="left"/>
              <w:rPr/>
            </w:pPr>
            <w:r>
              <w:rPr/>
              <w:t> </w:t>
            </w:r>
          </w:p>
        </w:tc>
        <w:tc>
          <w:tcPr>
            <w:tcW w:w="18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Chanson Broadway</w:t>
            </w:r>
          </w:p>
        </w:tc>
        <w:tc>
          <w:tcPr>
            <w:tcW w:w="90" w:type="dxa"/>
            <w:tcBorders/>
            <w:vAlign w:val="center"/>
          </w:tcPr>
          <w:p>
            <w:pPr>
              <w:pStyle w:val="TableContents"/>
              <w:bidi w:val="0"/>
              <w:spacing w:before="0" w:after="283"/>
              <w:jc w:val="left"/>
              <w:rPr/>
            </w:pPr>
            <w:r>
              <w:rPr/>
              <w:t> </w:t>
            </w:r>
          </w:p>
        </w:tc>
        <w:tc>
          <w:tcPr>
            <w:tcW w:w="44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Same as above.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specific terms of each lease agreement, lease terms generally range from one to six years. The termination clause provides a lessor the right to terminate a lease agreement under different situations, including but not limited to nonpayment of rent, changed purpose of the lease space without the lessor’s permission, and illegal conducts at the lease space. Some lease agreements provide the PRC Stores the right to terminate the agreement if the lessor does not provide access to the leased space upon the PRC Stores’ payment of lease fee or has not properly repaired broken areas of the leased space.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Tangible properties of the PRC Stores and central factory include production, transportation, and electronic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Properties in the U.S.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Chanson 23rd Street leases 3,900 square feet of store space in New York City from a third party for a lease term of 15 years starting from January 2017. Chanson 23rd Street may extend the lease for an additional five years upon its expiration.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Chanson Broadway leases 850 square feet of store space in New York City from a third party for a lease term of 10 years starting from April 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Chanson NY rents one office in New York City from a third party for a lease term that expired on March 31, 2024. Chanson NY is in the process of communications with the landlord to extend that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Tangible properties of the U.S. Stores include production, transportation, and electronic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R&amp;D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considerable portion of sales of the PRC Stores and the U.S. Stores is driven by the introduction of new products, and as a result, product R&amp;D is, and will continue to be, an important component of their business. The PRC Stores and the U.S. Stores take a deliberate approach to new product development, with a primary focus on enhancing the quality, flavor, texture, presentation, and packaging of their products while adjusting product formulas and evolving production methods to meet customers’ demand for healthy, nutritious, and ready-to-eat food. In the realm of experimenting with healthy food concepts, such as low in carb, low in sugar, and high in fiber and vitamins, they have been exploring new product categories, including multi-grain products and products enriched with minerals.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Stores maintain an in-house R&amp;D team to improve their market research and customer insight capabilities. Currently, the R&amp;D team of the PRC Stores has six employees. The PRC Stores and the U.S. Stores expect to invest resources to retain more qualified employees. Their R&amp;D team members frequently participate in industry conferences and engage with industry experts to develop product formulas that follow key customer trends and to enhance their product quality. Their management team also regularly attends industry exhibits in Japan, the U.S., and the European countries to learn about the most up-to-date industry trends and developments, deepening their expertise in brand building and product diversification.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years of effort, the PRC Stores and the U.S. Stores have also developed a systematic approach to refine product packaging. They seamlessly combine functionality with aesthetics by integrating automatic packaging and packaging techniques with an exceptional heat-sealing feature with stylish graphic designs.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Trademarks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Xinjiang United Family has registered the brand name, “George●Chanson,” as its trademark in 19 categories, its logo as its trademark in six categories, and “The thyme bar” as its trademark in four categories in the PRC. These registrations allow the PRC Stores to exclusively use the trademark in areas under those categories. Chanson 23rd Street has registered “CHANSON,” “PATISSERIE CHANSON,” and “CHANSON NEW YORK</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as its trademarks in the U.S. The following tables summarize these trademark registrations: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Trademarks Registered in the PRC</w:t>
      </w:r>
    </w:p>
    <w:p>
      <w:pPr>
        <w:pStyle w:val="TextBody"/>
        <w:bidi w:val="0"/>
        <w:spacing w:before="0" w:after="0"/>
        <w:ind w:left="0" w:right="0" w:hanging="0"/>
        <w:jc w:val="center"/>
        <w:rPr>
          <w:caps w:val="false"/>
          <w:smallCaps w:val="false"/>
        </w:rPr>
      </w:pPr>
      <w:r>
        <w:rPr>
          <w:caps w:val="false"/>
          <w:smallCaps w:val="false"/>
        </w:rPr>
        <w:t> </w:t>
      </w:r>
    </w:p>
    <w:tbl>
      <w:tblPr>
        <w:tblW w:w="6925" w:type="dxa"/>
        <w:jc w:val="left"/>
        <w:tblInd w:w="0" w:type="dxa"/>
        <w:tblLayout w:type="fixed"/>
        <w:tblCellMar>
          <w:top w:w="0" w:type="dxa"/>
          <w:left w:w="0" w:type="dxa"/>
          <w:bottom w:w="0" w:type="dxa"/>
          <w:right w:w="0" w:type="dxa"/>
        </w:tblCellMar>
      </w:tblPr>
      <w:tblGrid>
        <w:gridCol w:w="275"/>
        <w:gridCol w:w="90"/>
        <w:gridCol w:w="1835"/>
        <w:gridCol w:w="90"/>
        <w:gridCol w:w="845"/>
        <w:gridCol w:w="90"/>
        <w:gridCol w:w="2030"/>
        <w:gridCol w:w="90"/>
        <w:gridCol w:w="1580"/>
      </w:tblGrid>
      <w:tr>
        <w:trPr/>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Registration Number</w:t>
            </w:r>
          </w:p>
        </w:tc>
        <w:tc>
          <w:tcPr>
            <w:tcW w:w="90" w:type="dxa"/>
            <w:tcBorders/>
            <w:vAlign w:val="center"/>
          </w:tcPr>
          <w:p>
            <w:pPr>
              <w:pStyle w:val="TableContents"/>
              <w:bidi w:val="0"/>
              <w:spacing w:before="0" w:after="283"/>
              <w:jc w:val="left"/>
              <w:rPr/>
            </w:pPr>
            <w:r>
              <w:rPr/>
              <w:t> </w:t>
            </w:r>
          </w:p>
        </w:tc>
        <w:tc>
          <w:tcPr>
            <w:tcW w:w="84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Category</w:t>
            </w:r>
          </w:p>
        </w:tc>
        <w:tc>
          <w:tcPr>
            <w:tcW w:w="90" w:type="dxa"/>
            <w:tcBorders/>
            <w:vAlign w:val="center"/>
          </w:tcPr>
          <w:p>
            <w:pPr>
              <w:pStyle w:val="TableContents"/>
              <w:bidi w:val="0"/>
              <w:spacing w:before="0" w:after="283"/>
              <w:jc w:val="left"/>
              <w:rPr/>
            </w:pPr>
            <w:r>
              <w:rPr/>
              <w:t> </w:t>
            </w:r>
          </w:p>
        </w:tc>
        <w:tc>
          <w:tcPr>
            <w:tcW w:w="203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Effective Period</w:t>
            </w:r>
          </w:p>
        </w:tc>
        <w:tc>
          <w:tcPr>
            <w:tcW w:w="90" w:type="dxa"/>
            <w:tcBorders/>
            <w:vAlign w:val="center"/>
          </w:tcPr>
          <w:p>
            <w:pPr>
              <w:pStyle w:val="TableContents"/>
              <w:bidi w:val="0"/>
              <w:spacing w:before="0" w:after="283"/>
              <w:jc w:val="left"/>
              <w:rPr/>
            </w:pPr>
            <w:r>
              <w:rPr/>
              <w:t> </w:t>
            </w:r>
          </w:p>
        </w:tc>
        <w:tc>
          <w:tcPr>
            <w:tcW w:w="158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Trademark Logo</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17999111</w:t>
            </w:r>
          </w:p>
        </w:tc>
        <w:tc>
          <w:tcPr>
            <w:tcW w:w="9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w:t>
            </w:r>
          </w:p>
        </w:tc>
        <w:tc>
          <w:tcPr>
            <w:tcW w:w="90"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11/07/2016-11/06/2026</w:t>
            </w:r>
          </w:p>
        </w:tc>
        <w:tc>
          <w:tcPr>
            <w:tcW w:w="90" w:type="dxa"/>
            <w:tcBorders/>
            <w:shd w:fill="CCEEFF" w:val="clear"/>
            <w:vAlign w:val="center"/>
          </w:tcPr>
          <w:p>
            <w:pPr>
              <w:pStyle w:val="TableContents"/>
              <w:bidi w:val="0"/>
              <w:spacing w:before="0" w:after="283"/>
              <w:jc w:val="left"/>
              <w:rPr/>
            </w:pPr>
            <w:r>
              <w:rPr/>
              <w:t> </w:t>
            </w:r>
          </w:p>
        </w:tc>
        <w:tc>
          <w:tcPr>
            <w:tcW w:w="1580" w:type="dxa"/>
            <w:tcBorders/>
            <w:shd w:fill="CCEEFF" w:val="clear"/>
            <w:vAlign w:val="center"/>
          </w:tcPr>
          <w:p>
            <w:pPr>
              <w:pStyle w:val="TableContents"/>
              <w:bidi w:val="0"/>
              <w:spacing w:before="0" w:after="283"/>
              <w:jc w:val="center"/>
              <w:rPr/>
            </w:pPr>
            <w:r>
              <w:rPr/>
              <w:drawing>
                <wp:inline distT="0" distB="0" distL="0" distR="0">
                  <wp:extent cx="866775" cy="381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66775" cy="381000"/>
                          </a:xfrm>
                          <a:prstGeom prst="rect">
                            <a:avLst/>
                          </a:prstGeom>
                        </pic:spPr>
                      </pic:pic>
                    </a:graphicData>
                  </a:graphic>
                </wp:inline>
              </w:drawing>
            </w:r>
          </w:p>
        </w:tc>
      </w:tr>
      <w:tr>
        <w:trPr/>
        <w:tc>
          <w:tcPr>
            <w:tcW w:w="2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17999258</w:t>
            </w:r>
          </w:p>
        </w:tc>
        <w:tc>
          <w:tcPr>
            <w:tcW w:w="9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c>
          <w:tcPr>
            <w:tcW w:w="90"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11/07/2016-11/06/2026</w:t>
            </w:r>
          </w:p>
        </w:tc>
        <w:tc>
          <w:tcPr>
            <w:tcW w:w="90" w:type="dxa"/>
            <w:tcBorders/>
            <w:shd w:fill="CCEEFF" w:val="clear"/>
            <w:vAlign w:val="center"/>
          </w:tcPr>
          <w:p>
            <w:pPr>
              <w:pStyle w:val="TableContents"/>
              <w:bidi w:val="0"/>
              <w:spacing w:before="0" w:after="283"/>
              <w:jc w:val="left"/>
              <w:rPr/>
            </w:pPr>
            <w:r>
              <w:rPr/>
              <w:t> </w:t>
            </w:r>
          </w:p>
        </w:tc>
        <w:tc>
          <w:tcPr>
            <w:tcW w:w="1580" w:type="dxa"/>
            <w:tcBorders/>
            <w:shd w:fill="CCEEFF" w:val="clear"/>
            <w:vAlign w:val="center"/>
          </w:tcPr>
          <w:p>
            <w:pPr>
              <w:pStyle w:val="TableContents"/>
              <w:bidi w:val="0"/>
              <w:spacing w:before="0" w:after="283"/>
              <w:jc w:val="center"/>
              <w:rPr/>
            </w:pPr>
            <w:r>
              <w:rPr/>
              <w:drawing>
                <wp:inline distT="0" distB="0" distL="0" distR="0">
                  <wp:extent cx="866775" cy="381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66775" cy="381000"/>
                          </a:xfrm>
                          <a:prstGeom prst="rect">
                            <a:avLst/>
                          </a:prstGeom>
                        </pic:spPr>
                      </pic:pic>
                    </a:graphicData>
                  </a:graphic>
                </wp:inline>
              </w:drawing>
            </w:r>
          </w:p>
        </w:tc>
      </w:tr>
      <w:tr>
        <w:trPr/>
        <w:tc>
          <w:tcPr>
            <w:tcW w:w="2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17999032</w:t>
            </w:r>
          </w:p>
        </w:tc>
        <w:tc>
          <w:tcPr>
            <w:tcW w:w="9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p>
        </w:tc>
        <w:tc>
          <w:tcPr>
            <w:tcW w:w="90"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11/07/2016-11/06/2026</w:t>
            </w:r>
          </w:p>
        </w:tc>
        <w:tc>
          <w:tcPr>
            <w:tcW w:w="90" w:type="dxa"/>
            <w:tcBorders/>
            <w:shd w:fill="CCEEFF" w:val="clear"/>
            <w:vAlign w:val="center"/>
          </w:tcPr>
          <w:p>
            <w:pPr>
              <w:pStyle w:val="TableContents"/>
              <w:bidi w:val="0"/>
              <w:spacing w:before="0" w:after="283"/>
              <w:jc w:val="left"/>
              <w:rPr/>
            </w:pPr>
            <w:r>
              <w:rPr/>
              <w:t> </w:t>
            </w:r>
          </w:p>
        </w:tc>
        <w:tc>
          <w:tcPr>
            <w:tcW w:w="1580" w:type="dxa"/>
            <w:tcBorders/>
            <w:shd w:fill="CCEEFF" w:val="clear"/>
            <w:vAlign w:val="center"/>
          </w:tcPr>
          <w:p>
            <w:pPr>
              <w:pStyle w:val="TableContents"/>
              <w:bidi w:val="0"/>
              <w:spacing w:before="0" w:after="283"/>
              <w:jc w:val="center"/>
              <w:rPr/>
            </w:pPr>
            <w:r>
              <w:rPr/>
              <w:drawing>
                <wp:inline distT="0" distB="0" distL="0" distR="0">
                  <wp:extent cx="866775" cy="3810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866775" cy="381000"/>
                          </a:xfrm>
                          <a:prstGeom prst="rect">
                            <a:avLst/>
                          </a:prstGeom>
                        </pic:spPr>
                      </pic:pic>
                    </a:graphicData>
                  </a:graphic>
                </wp:inline>
              </w:drawing>
            </w:r>
          </w:p>
        </w:tc>
      </w:tr>
      <w:tr>
        <w:trPr/>
        <w:tc>
          <w:tcPr>
            <w:tcW w:w="2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17999068</w:t>
            </w:r>
          </w:p>
        </w:tc>
        <w:tc>
          <w:tcPr>
            <w:tcW w:w="9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c>
          <w:tcPr>
            <w:tcW w:w="90"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11/14/2016-11/13/2026</w:t>
            </w:r>
          </w:p>
        </w:tc>
        <w:tc>
          <w:tcPr>
            <w:tcW w:w="90" w:type="dxa"/>
            <w:tcBorders/>
            <w:shd w:fill="CCEEFF" w:val="clear"/>
            <w:vAlign w:val="center"/>
          </w:tcPr>
          <w:p>
            <w:pPr>
              <w:pStyle w:val="TableContents"/>
              <w:bidi w:val="0"/>
              <w:spacing w:before="0" w:after="283"/>
              <w:jc w:val="left"/>
              <w:rPr/>
            </w:pPr>
            <w:r>
              <w:rPr/>
              <w:t> </w:t>
            </w:r>
          </w:p>
        </w:tc>
        <w:tc>
          <w:tcPr>
            <w:tcW w:w="1580" w:type="dxa"/>
            <w:tcBorders/>
            <w:shd w:fill="CCEEFF" w:val="clear"/>
            <w:vAlign w:val="center"/>
          </w:tcPr>
          <w:p>
            <w:pPr>
              <w:pStyle w:val="TableContents"/>
              <w:bidi w:val="0"/>
              <w:spacing w:before="0" w:after="283"/>
              <w:jc w:val="center"/>
              <w:rPr/>
            </w:pPr>
            <w:r>
              <w:rPr/>
              <w:drawing>
                <wp:inline distT="0" distB="0" distL="0" distR="0">
                  <wp:extent cx="866775" cy="3810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866775" cy="381000"/>
                          </a:xfrm>
                          <a:prstGeom prst="rect">
                            <a:avLst/>
                          </a:prstGeom>
                        </pic:spPr>
                      </pic:pic>
                    </a:graphicData>
                  </a:graphic>
                </wp:inline>
              </w:drawing>
            </w:r>
          </w:p>
        </w:tc>
      </w:tr>
      <w:tr>
        <w:trPr/>
        <w:tc>
          <w:tcPr>
            <w:tcW w:w="2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17998952</w:t>
            </w:r>
          </w:p>
        </w:tc>
        <w:tc>
          <w:tcPr>
            <w:tcW w:w="9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c>
          <w:tcPr>
            <w:tcW w:w="90"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11/14/2016-11/13/2026</w:t>
            </w:r>
          </w:p>
        </w:tc>
        <w:tc>
          <w:tcPr>
            <w:tcW w:w="90" w:type="dxa"/>
            <w:tcBorders/>
            <w:shd w:fill="CCEEFF" w:val="clear"/>
            <w:vAlign w:val="center"/>
          </w:tcPr>
          <w:p>
            <w:pPr>
              <w:pStyle w:val="TableContents"/>
              <w:bidi w:val="0"/>
              <w:spacing w:before="0" w:after="283"/>
              <w:jc w:val="left"/>
              <w:rPr/>
            </w:pPr>
            <w:r>
              <w:rPr/>
              <w:t> </w:t>
            </w:r>
          </w:p>
        </w:tc>
        <w:tc>
          <w:tcPr>
            <w:tcW w:w="1580" w:type="dxa"/>
            <w:tcBorders/>
            <w:shd w:fill="CCEEFF" w:val="clear"/>
            <w:vAlign w:val="center"/>
          </w:tcPr>
          <w:p>
            <w:pPr>
              <w:pStyle w:val="TableContents"/>
              <w:bidi w:val="0"/>
              <w:spacing w:before="0" w:after="283"/>
              <w:jc w:val="center"/>
              <w:rPr/>
            </w:pPr>
            <w:r>
              <w:rPr/>
              <w:drawing>
                <wp:inline distT="0" distB="0" distL="0" distR="0">
                  <wp:extent cx="866775" cy="3810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866775" cy="381000"/>
                          </a:xfrm>
                          <a:prstGeom prst="rect">
                            <a:avLst/>
                          </a:prstGeom>
                        </pic:spPr>
                      </pic:pic>
                    </a:graphicData>
                  </a:graphic>
                </wp:inline>
              </w:drawing>
            </w:r>
          </w:p>
        </w:tc>
      </w:tr>
      <w:tr>
        <w:trPr/>
        <w:tc>
          <w:tcPr>
            <w:tcW w:w="2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17998971</w:t>
            </w:r>
          </w:p>
        </w:tc>
        <w:tc>
          <w:tcPr>
            <w:tcW w:w="9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w:t>
            </w:r>
          </w:p>
        </w:tc>
        <w:tc>
          <w:tcPr>
            <w:tcW w:w="90"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11/14/2016-11/13/2026</w:t>
            </w:r>
          </w:p>
        </w:tc>
        <w:tc>
          <w:tcPr>
            <w:tcW w:w="90" w:type="dxa"/>
            <w:tcBorders/>
            <w:shd w:fill="CCEEFF" w:val="clear"/>
            <w:vAlign w:val="center"/>
          </w:tcPr>
          <w:p>
            <w:pPr>
              <w:pStyle w:val="TableContents"/>
              <w:bidi w:val="0"/>
              <w:spacing w:before="0" w:after="283"/>
              <w:jc w:val="left"/>
              <w:rPr/>
            </w:pPr>
            <w:r>
              <w:rPr/>
              <w:t> </w:t>
            </w:r>
          </w:p>
        </w:tc>
        <w:tc>
          <w:tcPr>
            <w:tcW w:w="1580" w:type="dxa"/>
            <w:tcBorders/>
            <w:shd w:fill="CCEEFF" w:val="clear"/>
            <w:vAlign w:val="center"/>
          </w:tcPr>
          <w:p>
            <w:pPr>
              <w:pStyle w:val="TableContents"/>
              <w:bidi w:val="0"/>
              <w:spacing w:before="0" w:after="283"/>
              <w:jc w:val="center"/>
              <w:rPr/>
            </w:pPr>
            <w:r>
              <w:rPr/>
              <w:drawing>
                <wp:inline distT="0" distB="0" distL="0" distR="0">
                  <wp:extent cx="866775" cy="3810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866775" cy="381000"/>
                          </a:xfrm>
                          <a:prstGeom prst="rect">
                            <a:avLst/>
                          </a:prstGeom>
                        </pic:spPr>
                      </pic:pic>
                    </a:graphicData>
                  </a:graphic>
                </wp:inline>
              </w:drawing>
            </w:r>
          </w:p>
        </w:tc>
      </w:tr>
      <w:tr>
        <w:trPr/>
        <w:tc>
          <w:tcPr>
            <w:tcW w:w="2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13241648</w:t>
            </w:r>
          </w:p>
        </w:tc>
        <w:tc>
          <w:tcPr>
            <w:tcW w:w="9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w:t>
            </w:r>
          </w:p>
        </w:tc>
        <w:tc>
          <w:tcPr>
            <w:tcW w:w="90"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04/14/2015-04/13/2035</w:t>
            </w:r>
          </w:p>
        </w:tc>
        <w:tc>
          <w:tcPr>
            <w:tcW w:w="90" w:type="dxa"/>
            <w:tcBorders/>
            <w:shd w:fill="CCEEFF" w:val="clear"/>
            <w:vAlign w:val="center"/>
          </w:tcPr>
          <w:p>
            <w:pPr>
              <w:pStyle w:val="TableContents"/>
              <w:bidi w:val="0"/>
              <w:spacing w:before="0" w:after="283"/>
              <w:jc w:val="left"/>
              <w:rPr/>
            </w:pPr>
            <w:r>
              <w:rPr/>
              <w:t> </w:t>
            </w:r>
          </w:p>
        </w:tc>
        <w:tc>
          <w:tcPr>
            <w:tcW w:w="1580" w:type="dxa"/>
            <w:tcBorders/>
            <w:shd w:fill="CCEEFF" w:val="clear"/>
            <w:vAlign w:val="center"/>
          </w:tcPr>
          <w:p>
            <w:pPr>
              <w:pStyle w:val="TableContents"/>
              <w:bidi w:val="0"/>
              <w:spacing w:before="0" w:after="283"/>
              <w:jc w:val="center"/>
              <w:rPr/>
            </w:pPr>
            <w:r>
              <w:rPr/>
              <w:drawing>
                <wp:inline distT="0" distB="0" distL="0" distR="0">
                  <wp:extent cx="866775" cy="3810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866775" cy="381000"/>
                          </a:xfrm>
                          <a:prstGeom prst="rect">
                            <a:avLst/>
                          </a:prstGeom>
                        </pic:spPr>
                      </pic:pic>
                    </a:graphicData>
                  </a:graphic>
                </wp:inline>
              </w:drawing>
            </w:r>
          </w:p>
        </w:tc>
      </w:tr>
      <w:tr>
        <w:trPr/>
        <w:tc>
          <w:tcPr>
            <w:tcW w:w="2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13241661</w:t>
            </w:r>
          </w:p>
        </w:tc>
        <w:tc>
          <w:tcPr>
            <w:tcW w:w="9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w:t>
            </w:r>
          </w:p>
        </w:tc>
        <w:tc>
          <w:tcPr>
            <w:tcW w:w="90"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04/14/2015-04/13/2035</w:t>
            </w:r>
          </w:p>
        </w:tc>
        <w:tc>
          <w:tcPr>
            <w:tcW w:w="90" w:type="dxa"/>
            <w:tcBorders/>
            <w:shd w:fill="CCEEFF" w:val="clear"/>
            <w:vAlign w:val="center"/>
          </w:tcPr>
          <w:p>
            <w:pPr>
              <w:pStyle w:val="TableContents"/>
              <w:bidi w:val="0"/>
              <w:spacing w:before="0" w:after="283"/>
              <w:jc w:val="left"/>
              <w:rPr/>
            </w:pPr>
            <w:r>
              <w:rPr/>
              <w:t> </w:t>
            </w:r>
          </w:p>
        </w:tc>
        <w:tc>
          <w:tcPr>
            <w:tcW w:w="1580" w:type="dxa"/>
            <w:tcBorders/>
            <w:shd w:fill="CCEEFF" w:val="clear"/>
            <w:vAlign w:val="center"/>
          </w:tcPr>
          <w:p>
            <w:pPr>
              <w:pStyle w:val="TableContents"/>
              <w:bidi w:val="0"/>
              <w:spacing w:before="0" w:after="283"/>
              <w:jc w:val="center"/>
              <w:rPr/>
            </w:pPr>
            <w:r>
              <w:rPr/>
              <w:drawing>
                <wp:inline distT="0" distB="0" distL="0" distR="0">
                  <wp:extent cx="866775" cy="3810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866775" cy="381000"/>
                          </a:xfrm>
                          <a:prstGeom prst="rect">
                            <a:avLst/>
                          </a:prstGeom>
                        </pic:spPr>
                      </pic:pic>
                    </a:graphicData>
                  </a:graphic>
                </wp:inline>
              </w:drawing>
            </w:r>
          </w:p>
        </w:tc>
      </w:tr>
      <w:tr>
        <w:trPr/>
        <w:tc>
          <w:tcPr>
            <w:tcW w:w="2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9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13241679</w:t>
            </w:r>
          </w:p>
        </w:tc>
        <w:tc>
          <w:tcPr>
            <w:tcW w:w="9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39</w:t>
            </w:r>
          </w:p>
        </w:tc>
        <w:tc>
          <w:tcPr>
            <w:tcW w:w="90"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03/28/2015-03/27/2035</w:t>
            </w:r>
          </w:p>
        </w:tc>
        <w:tc>
          <w:tcPr>
            <w:tcW w:w="90" w:type="dxa"/>
            <w:tcBorders/>
            <w:shd w:fill="CCEEFF" w:val="clear"/>
            <w:vAlign w:val="center"/>
          </w:tcPr>
          <w:p>
            <w:pPr>
              <w:pStyle w:val="TableContents"/>
              <w:bidi w:val="0"/>
              <w:spacing w:before="0" w:after="283"/>
              <w:jc w:val="left"/>
              <w:rPr/>
            </w:pPr>
            <w:r>
              <w:rPr/>
              <w:t> </w:t>
            </w:r>
          </w:p>
        </w:tc>
        <w:tc>
          <w:tcPr>
            <w:tcW w:w="1580" w:type="dxa"/>
            <w:tcBorders/>
            <w:shd w:fill="CCEEFF" w:val="clear"/>
            <w:vAlign w:val="center"/>
          </w:tcPr>
          <w:p>
            <w:pPr>
              <w:pStyle w:val="TableContents"/>
              <w:bidi w:val="0"/>
              <w:spacing w:before="0" w:after="283"/>
              <w:jc w:val="center"/>
              <w:rPr/>
            </w:pPr>
            <w:r>
              <w:rPr/>
              <w:drawing>
                <wp:inline distT="0" distB="0" distL="0" distR="0">
                  <wp:extent cx="866775" cy="3810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866775" cy="381000"/>
                          </a:xfrm>
                          <a:prstGeom prst="rect">
                            <a:avLst/>
                          </a:prstGeom>
                        </pic:spPr>
                      </pic:pic>
                    </a:graphicData>
                  </a:graphic>
                </wp:inline>
              </w:drawing>
            </w:r>
          </w:p>
        </w:tc>
      </w:tr>
      <w:tr>
        <w:trPr/>
        <w:tc>
          <w:tcPr>
            <w:tcW w:w="2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9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12911052</w:t>
            </w:r>
          </w:p>
        </w:tc>
        <w:tc>
          <w:tcPr>
            <w:tcW w:w="9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w:t>
            </w:r>
          </w:p>
        </w:tc>
        <w:tc>
          <w:tcPr>
            <w:tcW w:w="90"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08/07/2017-08/06/2027</w:t>
            </w:r>
          </w:p>
        </w:tc>
        <w:tc>
          <w:tcPr>
            <w:tcW w:w="90" w:type="dxa"/>
            <w:tcBorders/>
            <w:shd w:fill="CCEEFF" w:val="clear"/>
            <w:vAlign w:val="center"/>
          </w:tcPr>
          <w:p>
            <w:pPr>
              <w:pStyle w:val="TableContents"/>
              <w:bidi w:val="0"/>
              <w:spacing w:before="0" w:after="283"/>
              <w:jc w:val="left"/>
              <w:rPr/>
            </w:pPr>
            <w:r>
              <w:rPr/>
              <w:t> </w:t>
            </w:r>
          </w:p>
        </w:tc>
        <w:tc>
          <w:tcPr>
            <w:tcW w:w="1580" w:type="dxa"/>
            <w:tcBorders/>
            <w:shd w:fill="CCEEFF" w:val="clear"/>
            <w:vAlign w:val="center"/>
          </w:tcPr>
          <w:p>
            <w:pPr>
              <w:pStyle w:val="TableContents"/>
              <w:bidi w:val="0"/>
              <w:spacing w:before="0" w:after="283"/>
              <w:jc w:val="center"/>
              <w:rPr/>
            </w:pPr>
            <w:r>
              <w:rPr/>
              <w:drawing>
                <wp:inline distT="0" distB="0" distL="0" distR="0">
                  <wp:extent cx="866775" cy="3810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866775" cy="381000"/>
                          </a:xfrm>
                          <a:prstGeom prst="rect">
                            <a:avLst/>
                          </a:prstGeom>
                        </pic:spPr>
                      </pic:pic>
                    </a:graphicData>
                  </a:graphic>
                </wp:inline>
              </w:drawing>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355" w:type="dxa"/>
        <w:jc w:val="left"/>
        <w:tblInd w:w="0" w:type="dxa"/>
        <w:tblLayout w:type="fixed"/>
        <w:tblCellMar>
          <w:top w:w="0" w:type="dxa"/>
          <w:left w:w="0" w:type="dxa"/>
          <w:bottom w:w="0" w:type="dxa"/>
          <w:right w:w="0" w:type="dxa"/>
        </w:tblCellMar>
      </w:tblPr>
      <w:tblGrid>
        <w:gridCol w:w="275"/>
        <w:gridCol w:w="90"/>
        <w:gridCol w:w="1835"/>
        <w:gridCol w:w="90"/>
        <w:gridCol w:w="845"/>
        <w:gridCol w:w="90"/>
        <w:gridCol w:w="2030"/>
        <w:gridCol w:w="90"/>
        <w:gridCol w:w="2010"/>
      </w:tblGrid>
      <w:tr>
        <w:trPr/>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Registration Number</w:t>
            </w:r>
          </w:p>
        </w:tc>
        <w:tc>
          <w:tcPr>
            <w:tcW w:w="90" w:type="dxa"/>
            <w:tcBorders/>
            <w:vAlign w:val="center"/>
          </w:tcPr>
          <w:p>
            <w:pPr>
              <w:pStyle w:val="TableContents"/>
              <w:bidi w:val="0"/>
              <w:spacing w:before="0" w:after="283"/>
              <w:jc w:val="left"/>
              <w:rPr/>
            </w:pPr>
            <w:r>
              <w:rPr/>
              <w:t> </w:t>
            </w:r>
          </w:p>
        </w:tc>
        <w:tc>
          <w:tcPr>
            <w:tcW w:w="84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Category</w:t>
            </w:r>
          </w:p>
        </w:tc>
        <w:tc>
          <w:tcPr>
            <w:tcW w:w="90" w:type="dxa"/>
            <w:tcBorders/>
            <w:vAlign w:val="center"/>
          </w:tcPr>
          <w:p>
            <w:pPr>
              <w:pStyle w:val="TableContents"/>
              <w:bidi w:val="0"/>
              <w:spacing w:before="0" w:after="283"/>
              <w:jc w:val="left"/>
              <w:rPr/>
            </w:pPr>
            <w:r>
              <w:rPr/>
              <w:t> </w:t>
            </w:r>
          </w:p>
        </w:tc>
        <w:tc>
          <w:tcPr>
            <w:tcW w:w="203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Effective Period</w:t>
            </w:r>
          </w:p>
        </w:tc>
        <w:tc>
          <w:tcPr>
            <w:tcW w:w="90" w:type="dxa"/>
            <w:tcBorders/>
            <w:vAlign w:val="center"/>
          </w:tcPr>
          <w:p>
            <w:pPr>
              <w:pStyle w:val="TableContents"/>
              <w:bidi w:val="0"/>
              <w:spacing w:before="0" w:after="283"/>
              <w:jc w:val="left"/>
              <w:rPr/>
            </w:pPr>
            <w:r>
              <w:rPr/>
              <w:t> </w:t>
            </w:r>
          </w:p>
        </w:tc>
        <w:tc>
          <w:tcPr>
            <w:tcW w:w="201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Trademark Logo</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9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39954090</w:t>
            </w:r>
          </w:p>
        </w:tc>
        <w:tc>
          <w:tcPr>
            <w:tcW w:w="9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w:t>
            </w:r>
          </w:p>
        </w:tc>
        <w:tc>
          <w:tcPr>
            <w:tcW w:w="90"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10/28/2020-10/27/2030</w:t>
            </w:r>
          </w:p>
        </w:tc>
        <w:tc>
          <w:tcPr>
            <w:tcW w:w="90" w:type="dxa"/>
            <w:tcBorders/>
            <w:shd w:fill="CCEEFF" w:val="clear"/>
            <w:vAlign w:val="center"/>
          </w:tcPr>
          <w:p>
            <w:pPr>
              <w:pStyle w:val="TableContents"/>
              <w:bidi w:val="0"/>
              <w:spacing w:before="0" w:after="283"/>
              <w:jc w:val="left"/>
              <w:rPr/>
            </w:pPr>
            <w:r>
              <w:rPr/>
              <w:t> </w:t>
            </w:r>
          </w:p>
        </w:tc>
        <w:tc>
          <w:tcPr>
            <w:tcW w:w="2010" w:type="dxa"/>
            <w:tcBorders/>
            <w:shd w:fill="CCEEFF" w:val="clear"/>
            <w:vAlign w:val="center"/>
          </w:tcPr>
          <w:p>
            <w:pPr>
              <w:pStyle w:val="TableContents"/>
              <w:bidi w:val="0"/>
              <w:spacing w:before="0" w:after="283"/>
              <w:jc w:val="center"/>
              <w:rPr/>
            </w:pPr>
            <w:r>
              <w:rPr/>
              <w:drawing>
                <wp:inline distT="0" distB="0" distL="0" distR="0">
                  <wp:extent cx="819150" cy="4762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819150" cy="476250"/>
                          </a:xfrm>
                          <a:prstGeom prst="rect">
                            <a:avLst/>
                          </a:prstGeom>
                        </pic:spPr>
                      </pic:pic>
                    </a:graphicData>
                  </a:graphic>
                </wp:inline>
              </w:drawing>
            </w:r>
          </w:p>
        </w:tc>
      </w:tr>
      <w:tr>
        <w:trPr/>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010" w:type="dxa"/>
            <w:tcBorders/>
            <w:vAlign w:val="center"/>
          </w:tcPr>
          <w:p>
            <w:pPr>
              <w:pStyle w:val="TableContents"/>
              <w:bidi w:val="0"/>
              <w:spacing w:before="0" w:after="283"/>
              <w:jc w:val="center"/>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9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39954063</w:t>
            </w:r>
          </w:p>
        </w:tc>
        <w:tc>
          <w:tcPr>
            <w:tcW w:w="9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w:t>
            </w:r>
          </w:p>
        </w:tc>
        <w:tc>
          <w:tcPr>
            <w:tcW w:w="90"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11/07/2020-11/06/2030</w:t>
            </w:r>
          </w:p>
        </w:tc>
        <w:tc>
          <w:tcPr>
            <w:tcW w:w="90" w:type="dxa"/>
            <w:tcBorders/>
            <w:shd w:fill="CCEEFF" w:val="clear"/>
            <w:vAlign w:val="center"/>
          </w:tcPr>
          <w:p>
            <w:pPr>
              <w:pStyle w:val="TableContents"/>
              <w:bidi w:val="0"/>
              <w:spacing w:before="0" w:after="283"/>
              <w:jc w:val="left"/>
              <w:rPr/>
            </w:pPr>
            <w:r>
              <w:rPr/>
              <w:t> </w:t>
            </w:r>
          </w:p>
        </w:tc>
        <w:tc>
          <w:tcPr>
            <w:tcW w:w="2010" w:type="dxa"/>
            <w:tcBorders/>
            <w:shd w:fill="CCEEFF" w:val="clear"/>
            <w:vAlign w:val="center"/>
          </w:tcPr>
          <w:p>
            <w:pPr>
              <w:pStyle w:val="TableContents"/>
              <w:bidi w:val="0"/>
              <w:spacing w:before="0" w:after="283"/>
              <w:jc w:val="center"/>
              <w:rPr/>
            </w:pPr>
            <w:r>
              <w:rPr/>
              <w:drawing>
                <wp:inline distT="0" distB="0" distL="0" distR="0">
                  <wp:extent cx="819150" cy="4762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819150" cy="476250"/>
                          </a:xfrm>
                          <a:prstGeom prst="rect">
                            <a:avLst/>
                          </a:prstGeom>
                        </pic:spPr>
                      </pic:pic>
                    </a:graphicData>
                  </a:graphic>
                </wp:inline>
              </w:drawing>
            </w:r>
          </w:p>
        </w:tc>
      </w:tr>
      <w:tr>
        <w:trPr/>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010" w:type="dxa"/>
            <w:tcBorders/>
            <w:vAlign w:val="center"/>
          </w:tcPr>
          <w:p>
            <w:pPr>
              <w:pStyle w:val="TableContents"/>
              <w:bidi w:val="0"/>
              <w:spacing w:before="0" w:after="283"/>
              <w:jc w:val="center"/>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9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44626303</w:t>
            </w:r>
          </w:p>
        </w:tc>
        <w:tc>
          <w:tcPr>
            <w:tcW w:w="9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w:t>
            </w:r>
          </w:p>
        </w:tc>
        <w:tc>
          <w:tcPr>
            <w:tcW w:w="90"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12/07/2020-12/06/2030</w:t>
            </w:r>
          </w:p>
        </w:tc>
        <w:tc>
          <w:tcPr>
            <w:tcW w:w="90" w:type="dxa"/>
            <w:tcBorders/>
            <w:shd w:fill="CCEEFF" w:val="clear"/>
            <w:vAlign w:val="center"/>
          </w:tcPr>
          <w:p>
            <w:pPr>
              <w:pStyle w:val="TableContents"/>
              <w:bidi w:val="0"/>
              <w:spacing w:before="0" w:after="283"/>
              <w:jc w:val="left"/>
              <w:rPr/>
            </w:pPr>
            <w:r>
              <w:rPr/>
              <w:t> </w:t>
            </w:r>
          </w:p>
        </w:tc>
        <w:tc>
          <w:tcPr>
            <w:tcW w:w="2010" w:type="dxa"/>
            <w:tcBorders/>
            <w:shd w:fill="CCEEFF" w:val="clear"/>
            <w:vAlign w:val="center"/>
          </w:tcPr>
          <w:p>
            <w:pPr>
              <w:pStyle w:val="TableContents"/>
              <w:bidi w:val="0"/>
              <w:spacing w:before="0" w:after="283"/>
              <w:jc w:val="center"/>
              <w:rPr/>
            </w:pPr>
            <w:r>
              <w:rPr/>
              <w:drawing>
                <wp:inline distT="0" distB="0" distL="0" distR="0">
                  <wp:extent cx="847725" cy="6667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847725" cy="666750"/>
                          </a:xfrm>
                          <a:prstGeom prst="rect">
                            <a:avLst/>
                          </a:prstGeom>
                        </pic:spPr>
                      </pic:pic>
                    </a:graphicData>
                  </a:graphic>
                </wp:inline>
              </w:drawing>
            </w:r>
          </w:p>
        </w:tc>
      </w:tr>
      <w:tr>
        <w:trPr/>
        <w:tc>
          <w:tcPr>
            <w:tcW w:w="2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10"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w:t>
            </w:r>
          </w:p>
        </w:tc>
        <w:tc>
          <w:tcPr>
            <w:tcW w:w="9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44629314</w:t>
            </w:r>
          </w:p>
        </w:tc>
        <w:tc>
          <w:tcPr>
            <w:tcW w:w="9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w:t>
            </w:r>
          </w:p>
        </w:tc>
        <w:tc>
          <w:tcPr>
            <w:tcW w:w="90"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12/07/2020-12/06/2030</w:t>
            </w:r>
          </w:p>
        </w:tc>
        <w:tc>
          <w:tcPr>
            <w:tcW w:w="90" w:type="dxa"/>
            <w:tcBorders/>
            <w:shd w:fill="CCEEFF" w:val="clear"/>
            <w:vAlign w:val="center"/>
          </w:tcPr>
          <w:p>
            <w:pPr>
              <w:pStyle w:val="TableContents"/>
              <w:bidi w:val="0"/>
              <w:spacing w:before="0" w:after="283"/>
              <w:jc w:val="left"/>
              <w:rPr/>
            </w:pPr>
            <w:r>
              <w:rPr/>
              <w:t> </w:t>
            </w:r>
          </w:p>
        </w:tc>
        <w:tc>
          <w:tcPr>
            <w:tcW w:w="2010" w:type="dxa"/>
            <w:tcBorders/>
            <w:shd w:fill="CCEEFF" w:val="clear"/>
            <w:vAlign w:val="center"/>
          </w:tcPr>
          <w:p>
            <w:pPr>
              <w:pStyle w:val="TableContents"/>
              <w:bidi w:val="0"/>
              <w:spacing w:before="0" w:after="283"/>
              <w:jc w:val="center"/>
              <w:rPr/>
            </w:pPr>
            <w:r>
              <w:rPr/>
              <w:drawing>
                <wp:inline distT="0" distB="0" distL="0" distR="0">
                  <wp:extent cx="847725" cy="6667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847725" cy="666750"/>
                          </a:xfrm>
                          <a:prstGeom prst="rect">
                            <a:avLst/>
                          </a:prstGeom>
                        </pic:spPr>
                      </pic:pic>
                    </a:graphicData>
                  </a:graphic>
                </wp:inline>
              </w:drawing>
            </w:r>
          </w:p>
        </w:tc>
      </w:tr>
      <w:tr>
        <w:trPr/>
        <w:tc>
          <w:tcPr>
            <w:tcW w:w="2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10"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w:t>
            </w:r>
          </w:p>
        </w:tc>
        <w:tc>
          <w:tcPr>
            <w:tcW w:w="9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44623341</w:t>
            </w:r>
          </w:p>
        </w:tc>
        <w:tc>
          <w:tcPr>
            <w:tcW w:w="9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c>
          <w:tcPr>
            <w:tcW w:w="90"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12/07/2020-12/06/2030</w:t>
            </w:r>
          </w:p>
        </w:tc>
        <w:tc>
          <w:tcPr>
            <w:tcW w:w="90" w:type="dxa"/>
            <w:tcBorders/>
            <w:shd w:fill="CCEEFF" w:val="clear"/>
            <w:vAlign w:val="center"/>
          </w:tcPr>
          <w:p>
            <w:pPr>
              <w:pStyle w:val="TableContents"/>
              <w:bidi w:val="0"/>
              <w:spacing w:before="0" w:after="283"/>
              <w:jc w:val="left"/>
              <w:rPr/>
            </w:pPr>
            <w:r>
              <w:rPr/>
              <w:t> </w:t>
            </w:r>
          </w:p>
        </w:tc>
        <w:tc>
          <w:tcPr>
            <w:tcW w:w="2010" w:type="dxa"/>
            <w:tcBorders/>
            <w:shd w:fill="CCEEFF" w:val="clear"/>
            <w:vAlign w:val="center"/>
          </w:tcPr>
          <w:p>
            <w:pPr>
              <w:pStyle w:val="TableContents"/>
              <w:bidi w:val="0"/>
              <w:spacing w:before="0" w:after="283"/>
              <w:jc w:val="center"/>
              <w:rPr/>
            </w:pPr>
            <w:r>
              <w:rPr/>
              <w:drawing>
                <wp:inline distT="0" distB="0" distL="0" distR="0">
                  <wp:extent cx="847725" cy="6667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847725" cy="666750"/>
                          </a:xfrm>
                          <a:prstGeom prst="rect">
                            <a:avLst/>
                          </a:prstGeom>
                        </pic:spPr>
                      </pic:pic>
                    </a:graphicData>
                  </a:graphic>
                </wp:inline>
              </w:drawing>
            </w:r>
          </w:p>
        </w:tc>
      </w:tr>
      <w:tr>
        <w:trPr/>
        <w:tc>
          <w:tcPr>
            <w:tcW w:w="2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10"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w:t>
            </w:r>
          </w:p>
        </w:tc>
        <w:tc>
          <w:tcPr>
            <w:tcW w:w="9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44639541</w:t>
            </w:r>
          </w:p>
        </w:tc>
        <w:tc>
          <w:tcPr>
            <w:tcW w:w="9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w:t>
            </w:r>
          </w:p>
        </w:tc>
        <w:tc>
          <w:tcPr>
            <w:tcW w:w="90"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12/21/2020-12/20/2030</w:t>
            </w:r>
          </w:p>
        </w:tc>
        <w:tc>
          <w:tcPr>
            <w:tcW w:w="90" w:type="dxa"/>
            <w:tcBorders/>
            <w:shd w:fill="CCEEFF" w:val="clear"/>
            <w:vAlign w:val="center"/>
          </w:tcPr>
          <w:p>
            <w:pPr>
              <w:pStyle w:val="TableContents"/>
              <w:bidi w:val="0"/>
              <w:spacing w:before="0" w:after="283"/>
              <w:jc w:val="left"/>
              <w:rPr/>
            </w:pPr>
            <w:r>
              <w:rPr/>
              <w:t> </w:t>
            </w:r>
          </w:p>
        </w:tc>
        <w:tc>
          <w:tcPr>
            <w:tcW w:w="2010" w:type="dxa"/>
            <w:tcBorders/>
            <w:shd w:fill="CCEEFF" w:val="clear"/>
            <w:vAlign w:val="center"/>
          </w:tcPr>
          <w:p>
            <w:pPr>
              <w:pStyle w:val="TableContents"/>
              <w:bidi w:val="0"/>
              <w:spacing w:before="0" w:after="283"/>
              <w:jc w:val="center"/>
              <w:rPr/>
            </w:pPr>
            <w:r>
              <w:rPr/>
              <w:drawing>
                <wp:inline distT="0" distB="0" distL="0" distR="0">
                  <wp:extent cx="847725" cy="6667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847725" cy="666750"/>
                          </a:xfrm>
                          <a:prstGeom prst="rect">
                            <a:avLst/>
                          </a:prstGeom>
                        </pic:spPr>
                      </pic:pic>
                    </a:graphicData>
                  </a:graphic>
                </wp:inline>
              </w:drawing>
            </w:r>
          </w:p>
        </w:tc>
      </w:tr>
      <w:tr>
        <w:trPr/>
        <w:tc>
          <w:tcPr>
            <w:tcW w:w="2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10"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w:t>
            </w:r>
          </w:p>
        </w:tc>
        <w:tc>
          <w:tcPr>
            <w:tcW w:w="9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53288503</w:t>
            </w:r>
          </w:p>
        </w:tc>
        <w:tc>
          <w:tcPr>
            <w:tcW w:w="9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c>
          <w:tcPr>
            <w:tcW w:w="90"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08/28/2021-08/27/2031</w:t>
            </w:r>
          </w:p>
        </w:tc>
        <w:tc>
          <w:tcPr>
            <w:tcW w:w="90" w:type="dxa"/>
            <w:tcBorders/>
            <w:shd w:fill="CCEEFF" w:val="clear"/>
            <w:vAlign w:val="center"/>
          </w:tcPr>
          <w:p>
            <w:pPr>
              <w:pStyle w:val="TableContents"/>
              <w:bidi w:val="0"/>
              <w:spacing w:before="0" w:after="283"/>
              <w:jc w:val="left"/>
              <w:rPr/>
            </w:pPr>
            <w:r>
              <w:rPr/>
              <w:t> </w:t>
            </w:r>
          </w:p>
        </w:tc>
        <w:tc>
          <w:tcPr>
            <w:tcW w:w="2010" w:type="dxa"/>
            <w:tcBorders/>
            <w:shd w:fill="CCEEFF" w:val="clear"/>
            <w:vAlign w:val="center"/>
          </w:tcPr>
          <w:p>
            <w:pPr>
              <w:pStyle w:val="TableContents"/>
              <w:bidi w:val="0"/>
              <w:spacing w:before="0" w:after="283"/>
              <w:jc w:val="center"/>
              <w:rPr/>
            </w:pPr>
            <w:r>
              <w:rPr/>
              <w:drawing>
                <wp:inline distT="0" distB="0" distL="0" distR="0">
                  <wp:extent cx="1228725" cy="2762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228725" cy="276225"/>
                          </a:xfrm>
                          <a:prstGeom prst="rect">
                            <a:avLst/>
                          </a:prstGeom>
                        </pic:spPr>
                      </pic:pic>
                    </a:graphicData>
                  </a:graphic>
                </wp:inline>
              </w:drawing>
            </w:r>
          </w:p>
        </w:tc>
      </w:tr>
      <w:tr>
        <w:trPr/>
        <w:tc>
          <w:tcPr>
            <w:tcW w:w="2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10"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w:t>
            </w:r>
          </w:p>
        </w:tc>
        <w:tc>
          <w:tcPr>
            <w:tcW w:w="9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53317617</w:t>
            </w:r>
          </w:p>
        </w:tc>
        <w:tc>
          <w:tcPr>
            <w:tcW w:w="9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c>
          <w:tcPr>
            <w:tcW w:w="90"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08/28/2021-08/27/2031</w:t>
            </w:r>
          </w:p>
        </w:tc>
        <w:tc>
          <w:tcPr>
            <w:tcW w:w="90" w:type="dxa"/>
            <w:tcBorders/>
            <w:shd w:fill="CCEEFF" w:val="clear"/>
            <w:vAlign w:val="center"/>
          </w:tcPr>
          <w:p>
            <w:pPr>
              <w:pStyle w:val="TableContents"/>
              <w:bidi w:val="0"/>
              <w:spacing w:before="0" w:after="283"/>
              <w:jc w:val="left"/>
              <w:rPr/>
            </w:pPr>
            <w:r>
              <w:rPr/>
              <w:t> </w:t>
            </w:r>
          </w:p>
        </w:tc>
        <w:tc>
          <w:tcPr>
            <w:tcW w:w="2010" w:type="dxa"/>
            <w:tcBorders/>
            <w:shd w:fill="CCEEFF" w:val="clear"/>
            <w:vAlign w:val="center"/>
          </w:tcPr>
          <w:p>
            <w:pPr>
              <w:pStyle w:val="TableContents"/>
              <w:bidi w:val="0"/>
              <w:spacing w:before="0" w:after="283"/>
              <w:jc w:val="center"/>
              <w:rPr/>
            </w:pPr>
            <w:r>
              <w:rPr/>
              <w:drawing>
                <wp:inline distT="0" distB="0" distL="0" distR="0">
                  <wp:extent cx="1228725" cy="2762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228725" cy="276225"/>
                          </a:xfrm>
                          <a:prstGeom prst="rect">
                            <a:avLst/>
                          </a:prstGeom>
                        </pic:spPr>
                      </pic:pic>
                    </a:graphicData>
                  </a:graphic>
                </wp:inline>
              </w:drawing>
            </w:r>
          </w:p>
        </w:tc>
      </w:tr>
      <w:tr>
        <w:trPr/>
        <w:tc>
          <w:tcPr>
            <w:tcW w:w="2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10"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w:t>
            </w:r>
          </w:p>
        </w:tc>
        <w:tc>
          <w:tcPr>
            <w:tcW w:w="9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53296291</w:t>
            </w:r>
          </w:p>
        </w:tc>
        <w:tc>
          <w:tcPr>
            <w:tcW w:w="9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w:t>
            </w:r>
          </w:p>
        </w:tc>
        <w:tc>
          <w:tcPr>
            <w:tcW w:w="90"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08/28/2021-08/27/2031</w:t>
            </w:r>
          </w:p>
        </w:tc>
        <w:tc>
          <w:tcPr>
            <w:tcW w:w="90" w:type="dxa"/>
            <w:tcBorders/>
            <w:shd w:fill="CCEEFF" w:val="clear"/>
            <w:vAlign w:val="center"/>
          </w:tcPr>
          <w:p>
            <w:pPr>
              <w:pStyle w:val="TableContents"/>
              <w:bidi w:val="0"/>
              <w:spacing w:before="0" w:after="283"/>
              <w:jc w:val="left"/>
              <w:rPr/>
            </w:pPr>
            <w:r>
              <w:rPr/>
              <w:t> </w:t>
            </w:r>
          </w:p>
        </w:tc>
        <w:tc>
          <w:tcPr>
            <w:tcW w:w="2010" w:type="dxa"/>
            <w:tcBorders/>
            <w:shd w:fill="CCEEFF" w:val="clear"/>
            <w:vAlign w:val="center"/>
          </w:tcPr>
          <w:p>
            <w:pPr>
              <w:pStyle w:val="TableContents"/>
              <w:bidi w:val="0"/>
              <w:spacing w:before="0" w:after="283"/>
              <w:jc w:val="center"/>
              <w:rPr/>
            </w:pPr>
            <w:r>
              <w:rPr/>
              <w:drawing>
                <wp:inline distT="0" distB="0" distL="0" distR="0">
                  <wp:extent cx="1228725" cy="2762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228725" cy="276225"/>
                          </a:xfrm>
                          <a:prstGeom prst="rect">
                            <a:avLst/>
                          </a:prstGeom>
                        </pic:spPr>
                      </pic:pic>
                    </a:graphicData>
                  </a:graphic>
                </wp:inline>
              </w:drawing>
            </w:r>
          </w:p>
        </w:tc>
      </w:tr>
      <w:tr>
        <w:trPr/>
        <w:tc>
          <w:tcPr>
            <w:tcW w:w="2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10"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w:t>
            </w:r>
          </w:p>
        </w:tc>
        <w:tc>
          <w:tcPr>
            <w:tcW w:w="9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53302745</w:t>
            </w:r>
          </w:p>
        </w:tc>
        <w:tc>
          <w:tcPr>
            <w:tcW w:w="9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w:t>
            </w:r>
          </w:p>
        </w:tc>
        <w:tc>
          <w:tcPr>
            <w:tcW w:w="90"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09/07/2021-09/06/2031</w:t>
            </w:r>
          </w:p>
        </w:tc>
        <w:tc>
          <w:tcPr>
            <w:tcW w:w="90" w:type="dxa"/>
            <w:tcBorders/>
            <w:shd w:fill="CCEEFF" w:val="clear"/>
            <w:vAlign w:val="center"/>
          </w:tcPr>
          <w:p>
            <w:pPr>
              <w:pStyle w:val="TableContents"/>
              <w:bidi w:val="0"/>
              <w:spacing w:before="0" w:after="283"/>
              <w:jc w:val="left"/>
              <w:rPr/>
            </w:pPr>
            <w:r>
              <w:rPr/>
              <w:t> </w:t>
            </w:r>
          </w:p>
        </w:tc>
        <w:tc>
          <w:tcPr>
            <w:tcW w:w="2010" w:type="dxa"/>
            <w:tcBorders/>
            <w:shd w:fill="CCEEFF" w:val="clear"/>
            <w:vAlign w:val="center"/>
          </w:tcPr>
          <w:p>
            <w:pPr>
              <w:pStyle w:val="TableContents"/>
              <w:bidi w:val="0"/>
              <w:spacing w:before="0" w:after="283"/>
              <w:jc w:val="center"/>
              <w:rPr/>
            </w:pPr>
            <w:r>
              <w:rPr/>
              <w:drawing>
                <wp:inline distT="0" distB="0" distL="0" distR="0">
                  <wp:extent cx="1228725" cy="2762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228725" cy="276225"/>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355" w:type="dxa"/>
        <w:jc w:val="left"/>
        <w:tblInd w:w="0" w:type="dxa"/>
        <w:tblLayout w:type="fixed"/>
        <w:tblCellMar>
          <w:top w:w="0" w:type="dxa"/>
          <w:left w:w="0" w:type="dxa"/>
          <w:bottom w:w="0" w:type="dxa"/>
          <w:right w:w="0" w:type="dxa"/>
        </w:tblCellMar>
      </w:tblPr>
      <w:tblGrid>
        <w:gridCol w:w="275"/>
        <w:gridCol w:w="90"/>
        <w:gridCol w:w="1835"/>
        <w:gridCol w:w="90"/>
        <w:gridCol w:w="845"/>
        <w:gridCol w:w="90"/>
        <w:gridCol w:w="2030"/>
        <w:gridCol w:w="90"/>
        <w:gridCol w:w="2010"/>
      </w:tblGrid>
      <w:tr>
        <w:trPr/>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Registration Number</w:t>
            </w:r>
          </w:p>
        </w:tc>
        <w:tc>
          <w:tcPr>
            <w:tcW w:w="90" w:type="dxa"/>
            <w:tcBorders/>
            <w:vAlign w:val="center"/>
          </w:tcPr>
          <w:p>
            <w:pPr>
              <w:pStyle w:val="TableContents"/>
              <w:bidi w:val="0"/>
              <w:spacing w:before="0" w:after="283"/>
              <w:jc w:val="left"/>
              <w:rPr/>
            </w:pPr>
            <w:r>
              <w:rPr/>
              <w:t> </w:t>
            </w:r>
          </w:p>
        </w:tc>
        <w:tc>
          <w:tcPr>
            <w:tcW w:w="84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Category</w:t>
            </w:r>
          </w:p>
        </w:tc>
        <w:tc>
          <w:tcPr>
            <w:tcW w:w="90" w:type="dxa"/>
            <w:tcBorders/>
            <w:vAlign w:val="center"/>
          </w:tcPr>
          <w:p>
            <w:pPr>
              <w:pStyle w:val="TableContents"/>
              <w:bidi w:val="0"/>
              <w:spacing w:before="0" w:after="283"/>
              <w:jc w:val="left"/>
              <w:rPr/>
            </w:pPr>
            <w:r>
              <w:rPr/>
              <w:t> </w:t>
            </w:r>
          </w:p>
        </w:tc>
        <w:tc>
          <w:tcPr>
            <w:tcW w:w="203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Effective Period</w:t>
            </w:r>
          </w:p>
        </w:tc>
        <w:tc>
          <w:tcPr>
            <w:tcW w:w="90" w:type="dxa"/>
            <w:tcBorders/>
            <w:vAlign w:val="center"/>
          </w:tcPr>
          <w:p>
            <w:pPr>
              <w:pStyle w:val="TableContents"/>
              <w:bidi w:val="0"/>
              <w:spacing w:before="0" w:after="283"/>
              <w:jc w:val="left"/>
              <w:rPr/>
            </w:pPr>
            <w:r>
              <w:rPr/>
              <w:t> </w:t>
            </w:r>
          </w:p>
        </w:tc>
        <w:tc>
          <w:tcPr>
            <w:tcW w:w="201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Trademark Logo</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9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53157597</w:t>
            </w:r>
          </w:p>
        </w:tc>
        <w:tc>
          <w:tcPr>
            <w:tcW w:w="9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w:t>
            </w:r>
          </w:p>
        </w:tc>
        <w:tc>
          <w:tcPr>
            <w:tcW w:w="90"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09/07/2021-09/06/2031</w:t>
            </w:r>
          </w:p>
        </w:tc>
        <w:tc>
          <w:tcPr>
            <w:tcW w:w="90" w:type="dxa"/>
            <w:tcBorders/>
            <w:shd w:fill="CCEEFF" w:val="clear"/>
            <w:vAlign w:val="center"/>
          </w:tcPr>
          <w:p>
            <w:pPr>
              <w:pStyle w:val="TableContents"/>
              <w:bidi w:val="0"/>
              <w:spacing w:before="0" w:after="283"/>
              <w:jc w:val="left"/>
              <w:rPr/>
            </w:pPr>
            <w:r>
              <w:rPr/>
              <w:t> </w:t>
            </w:r>
          </w:p>
        </w:tc>
        <w:tc>
          <w:tcPr>
            <w:tcW w:w="2010" w:type="dxa"/>
            <w:tcBorders/>
            <w:shd w:fill="CCEEFF" w:val="clear"/>
            <w:vAlign w:val="center"/>
          </w:tcPr>
          <w:p>
            <w:pPr>
              <w:pStyle w:val="TableContents"/>
              <w:bidi w:val="0"/>
              <w:spacing w:before="0" w:after="283"/>
              <w:jc w:val="center"/>
              <w:rPr/>
            </w:pPr>
            <w:r>
              <w:rPr/>
              <w:drawing>
                <wp:inline distT="0" distB="0" distL="0" distR="0">
                  <wp:extent cx="1228725" cy="2762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228725" cy="276225"/>
                          </a:xfrm>
                          <a:prstGeom prst="rect">
                            <a:avLst/>
                          </a:prstGeom>
                        </pic:spPr>
                      </pic:pic>
                    </a:graphicData>
                  </a:graphic>
                </wp:inline>
              </w:drawing>
            </w:r>
          </w:p>
        </w:tc>
      </w:tr>
      <w:tr>
        <w:trPr/>
        <w:tc>
          <w:tcPr>
            <w:tcW w:w="2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10"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w:t>
            </w:r>
          </w:p>
        </w:tc>
        <w:tc>
          <w:tcPr>
            <w:tcW w:w="9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53310418</w:t>
            </w:r>
          </w:p>
        </w:tc>
        <w:tc>
          <w:tcPr>
            <w:tcW w:w="9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w:t>
            </w:r>
          </w:p>
        </w:tc>
        <w:tc>
          <w:tcPr>
            <w:tcW w:w="90"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09/07/2021-09/06/2031</w:t>
            </w:r>
          </w:p>
        </w:tc>
        <w:tc>
          <w:tcPr>
            <w:tcW w:w="90" w:type="dxa"/>
            <w:tcBorders/>
            <w:shd w:fill="CCEEFF" w:val="clear"/>
            <w:vAlign w:val="center"/>
          </w:tcPr>
          <w:p>
            <w:pPr>
              <w:pStyle w:val="TableContents"/>
              <w:bidi w:val="0"/>
              <w:spacing w:before="0" w:after="283"/>
              <w:jc w:val="left"/>
              <w:rPr/>
            </w:pPr>
            <w:r>
              <w:rPr/>
              <w:t> </w:t>
            </w:r>
          </w:p>
        </w:tc>
        <w:tc>
          <w:tcPr>
            <w:tcW w:w="2010" w:type="dxa"/>
            <w:tcBorders/>
            <w:shd w:fill="CCEEFF" w:val="clear"/>
            <w:vAlign w:val="center"/>
          </w:tcPr>
          <w:p>
            <w:pPr>
              <w:pStyle w:val="TableContents"/>
              <w:bidi w:val="0"/>
              <w:spacing w:before="0" w:after="283"/>
              <w:jc w:val="center"/>
              <w:rPr/>
            </w:pPr>
            <w:r>
              <w:rPr/>
              <w:drawing>
                <wp:inline distT="0" distB="0" distL="0" distR="0">
                  <wp:extent cx="1228725" cy="2762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228725" cy="276225"/>
                          </a:xfrm>
                          <a:prstGeom prst="rect">
                            <a:avLst/>
                          </a:prstGeom>
                        </pic:spPr>
                      </pic:pic>
                    </a:graphicData>
                  </a:graphic>
                </wp:inline>
              </w:drawing>
            </w:r>
          </w:p>
        </w:tc>
      </w:tr>
      <w:tr>
        <w:trPr/>
        <w:tc>
          <w:tcPr>
            <w:tcW w:w="2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10"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w:t>
            </w:r>
          </w:p>
        </w:tc>
        <w:tc>
          <w:tcPr>
            <w:tcW w:w="9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53141021</w:t>
            </w:r>
          </w:p>
        </w:tc>
        <w:tc>
          <w:tcPr>
            <w:tcW w:w="9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c>
          <w:tcPr>
            <w:tcW w:w="90"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09/14/2021-09/13/2031</w:t>
            </w:r>
          </w:p>
        </w:tc>
        <w:tc>
          <w:tcPr>
            <w:tcW w:w="90" w:type="dxa"/>
            <w:tcBorders/>
            <w:shd w:fill="CCEEFF" w:val="clear"/>
            <w:vAlign w:val="center"/>
          </w:tcPr>
          <w:p>
            <w:pPr>
              <w:pStyle w:val="TableContents"/>
              <w:bidi w:val="0"/>
              <w:spacing w:before="0" w:after="283"/>
              <w:jc w:val="left"/>
              <w:rPr/>
            </w:pPr>
            <w:r>
              <w:rPr/>
              <w:t> </w:t>
            </w:r>
          </w:p>
        </w:tc>
        <w:tc>
          <w:tcPr>
            <w:tcW w:w="2010" w:type="dxa"/>
            <w:tcBorders/>
            <w:shd w:fill="CCEEFF" w:val="clear"/>
            <w:vAlign w:val="center"/>
          </w:tcPr>
          <w:p>
            <w:pPr>
              <w:pStyle w:val="TableContents"/>
              <w:bidi w:val="0"/>
              <w:spacing w:before="0" w:after="283"/>
              <w:jc w:val="center"/>
              <w:rPr/>
            </w:pPr>
            <w:r>
              <w:rPr/>
              <w:drawing>
                <wp:inline distT="0" distB="0" distL="0" distR="0">
                  <wp:extent cx="1228725" cy="2762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228725" cy="276225"/>
                          </a:xfrm>
                          <a:prstGeom prst="rect">
                            <a:avLst/>
                          </a:prstGeom>
                        </pic:spPr>
                      </pic:pic>
                    </a:graphicData>
                  </a:graphic>
                </wp:inline>
              </w:drawing>
            </w:r>
          </w:p>
        </w:tc>
      </w:tr>
      <w:tr>
        <w:trPr/>
        <w:tc>
          <w:tcPr>
            <w:tcW w:w="2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10"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w:t>
            </w:r>
          </w:p>
        </w:tc>
        <w:tc>
          <w:tcPr>
            <w:tcW w:w="9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53140661</w:t>
            </w:r>
          </w:p>
        </w:tc>
        <w:tc>
          <w:tcPr>
            <w:tcW w:w="9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c>
          <w:tcPr>
            <w:tcW w:w="90"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09/21/2021-09/20/2031</w:t>
            </w:r>
          </w:p>
        </w:tc>
        <w:tc>
          <w:tcPr>
            <w:tcW w:w="90" w:type="dxa"/>
            <w:tcBorders/>
            <w:shd w:fill="CCEEFF" w:val="clear"/>
            <w:vAlign w:val="center"/>
          </w:tcPr>
          <w:p>
            <w:pPr>
              <w:pStyle w:val="TableContents"/>
              <w:bidi w:val="0"/>
              <w:spacing w:before="0" w:after="283"/>
              <w:jc w:val="left"/>
              <w:rPr/>
            </w:pPr>
            <w:r>
              <w:rPr/>
              <w:t> </w:t>
            </w:r>
          </w:p>
        </w:tc>
        <w:tc>
          <w:tcPr>
            <w:tcW w:w="2010" w:type="dxa"/>
            <w:tcBorders/>
            <w:shd w:fill="CCEEFF" w:val="clear"/>
            <w:vAlign w:val="center"/>
          </w:tcPr>
          <w:p>
            <w:pPr>
              <w:pStyle w:val="TableContents"/>
              <w:bidi w:val="0"/>
              <w:spacing w:before="0" w:after="283"/>
              <w:jc w:val="center"/>
              <w:rPr/>
            </w:pPr>
            <w:r>
              <w:rPr/>
              <w:drawing>
                <wp:inline distT="0" distB="0" distL="0" distR="0">
                  <wp:extent cx="1228725" cy="27622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228725" cy="276225"/>
                          </a:xfrm>
                          <a:prstGeom prst="rect">
                            <a:avLst/>
                          </a:prstGeom>
                        </pic:spPr>
                      </pic:pic>
                    </a:graphicData>
                  </a:graphic>
                </wp:inline>
              </w:drawing>
            </w:r>
          </w:p>
        </w:tc>
      </w:tr>
      <w:tr>
        <w:trPr/>
        <w:tc>
          <w:tcPr>
            <w:tcW w:w="2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10"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w:t>
            </w:r>
          </w:p>
        </w:tc>
        <w:tc>
          <w:tcPr>
            <w:tcW w:w="9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56986085</w:t>
            </w:r>
          </w:p>
        </w:tc>
        <w:tc>
          <w:tcPr>
            <w:tcW w:w="9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c>
          <w:tcPr>
            <w:tcW w:w="90"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12/28/2021-12/27/2031</w:t>
            </w:r>
          </w:p>
        </w:tc>
        <w:tc>
          <w:tcPr>
            <w:tcW w:w="90" w:type="dxa"/>
            <w:tcBorders/>
            <w:shd w:fill="CCEEFF" w:val="clear"/>
            <w:vAlign w:val="center"/>
          </w:tcPr>
          <w:p>
            <w:pPr>
              <w:pStyle w:val="TableContents"/>
              <w:bidi w:val="0"/>
              <w:spacing w:before="0" w:after="283"/>
              <w:jc w:val="left"/>
              <w:rPr/>
            </w:pPr>
            <w:r>
              <w:rPr/>
              <w:t> </w:t>
            </w:r>
          </w:p>
        </w:tc>
        <w:tc>
          <w:tcPr>
            <w:tcW w:w="2010" w:type="dxa"/>
            <w:tcBorders/>
            <w:shd w:fill="CCEEFF" w:val="clear"/>
            <w:vAlign w:val="center"/>
          </w:tcPr>
          <w:p>
            <w:pPr>
              <w:pStyle w:val="TableContents"/>
              <w:bidi w:val="0"/>
              <w:spacing w:before="0" w:after="283"/>
              <w:jc w:val="center"/>
              <w:rPr/>
            </w:pPr>
            <w:r>
              <w:rPr/>
              <w:drawing>
                <wp:inline distT="0" distB="0" distL="0" distR="0">
                  <wp:extent cx="685800" cy="16192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685800" cy="161925"/>
                          </a:xfrm>
                          <a:prstGeom prst="rect">
                            <a:avLst/>
                          </a:prstGeom>
                        </pic:spPr>
                      </pic:pic>
                    </a:graphicData>
                  </a:graphic>
                </wp:inline>
              </w:drawing>
            </w:r>
          </w:p>
        </w:tc>
      </w:tr>
      <w:tr>
        <w:trPr/>
        <w:tc>
          <w:tcPr>
            <w:tcW w:w="2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10"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w:t>
            </w:r>
          </w:p>
        </w:tc>
        <w:tc>
          <w:tcPr>
            <w:tcW w:w="9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53129642</w:t>
            </w:r>
          </w:p>
        </w:tc>
        <w:tc>
          <w:tcPr>
            <w:tcW w:w="9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w:t>
            </w:r>
          </w:p>
        </w:tc>
        <w:tc>
          <w:tcPr>
            <w:tcW w:w="90"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03/28/2022-03/27/2032</w:t>
            </w:r>
          </w:p>
        </w:tc>
        <w:tc>
          <w:tcPr>
            <w:tcW w:w="90" w:type="dxa"/>
            <w:tcBorders/>
            <w:shd w:fill="CCEEFF" w:val="clear"/>
            <w:vAlign w:val="center"/>
          </w:tcPr>
          <w:p>
            <w:pPr>
              <w:pStyle w:val="TableContents"/>
              <w:bidi w:val="0"/>
              <w:spacing w:before="0" w:after="283"/>
              <w:jc w:val="left"/>
              <w:rPr/>
            </w:pPr>
            <w:r>
              <w:rPr/>
              <w:t> </w:t>
            </w:r>
          </w:p>
        </w:tc>
        <w:tc>
          <w:tcPr>
            <w:tcW w:w="2010" w:type="dxa"/>
            <w:tcBorders/>
            <w:shd w:fill="CCEEFF" w:val="clear"/>
            <w:vAlign w:val="center"/>
          </w:tcPr>
          <w:p>
            <w:pPr>
              <w:pStyle w:val="TableContents"/>
              <w:bidi w:val="0"/>
              <w:spacing w:before="0" w:after="283"/>
              <w:jc w:val="center"/>
              <w:rPr/>
            </w:pPr>
            <w:r>
              <w:rPr/>
              <w:drawing>
                <wp:inline distT="0" distB="0" distL="0" distR="0">
                  <wp:extent cx="819150" cy="47625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819150" cy="476250"/>
                          </a:xfrm>
                          <a:prstGeom prst="rect">
                            <a:avLst/>
                          </a:prstGeom>
                        </pic:spPr>
                      </pic:pic>
                    </a:graphicData>
                  </a:graphic>
                </wp:inline>
              </w:drawing>
            </w:r>
          </w:p>
        </w:tc>
      </w:tr>
      <w:tr>
        <w:trPr/>
        <w:tc>
          <w:tcPr>
            <w:tcW w:w="2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10"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27</w:t>
            </w:r>
          </w:p>
        </w:tc>
        <w:tc>
          <w:tcPr>
            <w:tcW w:w="9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53145548</w:t>
            </w:r>
          </w:p>
        </w:tc>
        <w:tc>
          <w:tcPr>
            <w:tcW w:w="9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w:t>
            </w:r>
          </w:p>
        </w:tc>
        <w:tc>
          <w:tcPr>
            <w:tcW w:w="90"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03/28/2022-03/27/2032</w:t>
            </w:r>
          </w:p>
        </w:tc>
        <w:tc>
          <w:tcPr>
            <w:tcW w:w="90" w:type="dxa"/>
            <w:tcBorders/>
            <w:shd w:fill="CCEEFF" w:val="clear"/>
            <w:vAlign w:val="center"/>
          </w:tcPr>
          <w:p>
            <w:pPr>
              <w:pStyle w:val="TableContents"/>
              <w:bidi w:val="0"/>
              <w:spacing w:before="0" w:after="283"/>
              <w:jc w:val="left"/>
              <w:rPr/>
            </w:pPr>
            <w:r>
              <w:rPr/>
              <w:t> </w:t>
            </w:r>
          </w:p>
        </w:tc>
        <w:tc>
          <w:tcPr>
            <w:tcW w:w="2010" w:type="dxa"/>
            <w:tcBorders/>
            <w:shd w:fill="CCEEFF" w:val="clear"/>
            <w:vAlign w:val="center"/>
          </w:tcPr>
          <w:p>
            <w:pPr>
              <w:pStyle w:val="TableContents"/>
              <w:bidi w:val="0"/>
              <w:spacing w:before="0" w:after="283"/>
              <w:jc w:val="center"/>
              <w:rPr/>
            </w:pPr>
            <w:r>
              <w:rPr/>
              <w:drawing>
                <wp:inline distT="0" distB="0" distL="0" distR="0">
                  <wp:extent cx="819150" cy="4762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819150" cy="476250"/>
                          </a:xfrm>
                          <a:prstGeom prst="rect">
                            <a:avLst/>
                          </a:prstGeom>
                        </pic:spPr>
                      </pic:pic>
                    </a:graphicData>
                  </a:graphic>
                </wp:inline>
              </w:drawing>
            </w:r>
          </w:p>
        </w:tc>
      </w:tr>
      <w:tr>
        <w:trPr/>
        <w:tc>
          <w:tcPr>
            <w:tcW w:w="2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10"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w:t>
            </w:r>
          </w:p>
        </w:tc>
        <w:tc>
          <w:tcPr>
            <w:tcW w:w="9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53145551</w:t>
            </w:r>
          </w:p>
        </w:tc>
        <w:tc>
          <w:tcPr>
            <w:tcW w:w="9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c>
          <w:tcPr>
            <w:tcW w:w="90"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03/28/2022-03/27/2032</w:t>
            </w:r>
          </w:p>
        </w:tc>
        <w:tc>
          <w:tcPr>
            <w:tcW w:w="90" w:type="dxa"/>
            <w:tcBorders/>
            <w:shd w:fill="CCEEFF" w:val="clear"/>
            <w:vAlign w:val="center"/>
          </w:tcPr>
          <w:p>
            <w:pPr>
              <w:pStyle w:val="TableContents"/>
              <w:bidi w:val="0"/>
              <w:spacing w:before="0" w:after="283"/>
              <w:jc w:val="left"/>
              <w:rPr/>
            </w:pPr>
            <w:r>
              <w:rPr/>
              <w:t> </w:t>
            </w:r>
          </w:p>
        </w:tc>
        <w:tc>
          <w:tcPr>
            <w:tcW w:w="2010" w:type="dxa"/>
            <w:tcBorders/>
            <w:shd w:fill="CCEEFF" w:val="clear"/>
            <w:vAlign w:val="center"/>
          </w:tcPr>
          <w:p>
            <w:pPr>
              <w:pStyle w:val="TableContents"/>
              <w:bidi w:val="0"/>
              <w:spacing w:before="0" w:after="283"/>
              <w:jc w:val="center"/>
              <w:rPr/>
            </w:pPr>
            <w:r>
              <w:rPr/>
              <w:drawing>
                <wp:inline distT="0" distB="0" distL="0" distR="0">
                  <wp:extent cx="819150" cy="47625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819150" cy="476250"/>
                          </a:xfrm>
                          <a:prstGeom prst="rect">
                            <a:avLst/>
                          </a:prstGeom>
                        </pic:spPr>
                      </pic:pic>
                    </a:graphicData>
                  </a:graphic>
                </wp:inline>
              </w:drawing>
            </w:r>
          </w:p>
        </w:tc>
      </w:tr>
      <w:tr>
        <w:trPr/>
        <w:tc>
          <w:tcPr>
            <w:tcW w:w="2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10" w:type="dxa"/>
            <w:tcBorders/>
            <w:vAlign w:val="center"/>
          </w:tcPr>
          <w:p>
            <w:pPr>
              <w:pStyle w:val="TableContents"/>
              <w:bidi w:val="0"/>
              <w:spacing w:before="0" w:after="283"/>
              <w:jc w:val="left"/>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w:t>
            </w:r>
          </w:p>
        </w:tc>
        <w:tc>
          <w:tcPr>
            <w:tcW w:w="9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53145555</w:t>
            </w:r>
          </w:p>
        </w:tc>
        <w:tc>
          <w:tcPr>
            <w:tcW w:w="9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w:t>
            </w:r>
          </w:p>
        </w:tc>
        <w:tc>
          <w:tcPr>
            <w:tcW w:w="90"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03/28/2022-03/27/2032</w:t>
            </w:r>
          </w:p>
        </w:tc>
        <w:tc>
          <w:tcPr>
            <w:tcW w:w="90" w:type="dxa"/>
            <w:tcBorders/>
            <w:shd w:fill="CCEEFF" w:val="clear"/>
            <w:vAlign w:val="center"/>
          </w:tcPr>
          <w:p>
            <w:pPr>
              <w:pStyle w:val="TableContents"/>
              <w:bidi w:val="0"/>
              <w:spacing w:before="0" w:after="283"/>
              <w:jc w:val="left"/>
              <w:rPr/>
            </w:pPr>
            <w:r>
              <w:rPr/>
              <w:t> </w:t>
            </w:r>
          </w:p>
        </w:tc>
        <w:tc>
          <w:tcPr>
            <w:tcW w:w="2010" w:type="dxa"/>
            <w:tcBorders/>
            <w:shd w:fill="CCEEFF" w:val="clear"/>
            <w:vAlign w:val="center"/>
          </w:tcPr>
          <w:p>
            <w:pPr>
              <w:pStyle w:val="TableContents"/>
              <w:bidi w:val="0"/>
              <w:spacing w:before="0" w:after="283"/>
              <w:jc w:val="center"/>
              <w:rPr/>
            </w:pPr>
            <w:r>
              <w:rPr/>
              <w:drawing>
                <wp:inline distT="0" distB="0" distL="0" distR="0">
                  <wp:extent cx="819150" cy="47625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819150" cy="476250"/>
                          </a:xfrm>
                          <a:prstGeom prst="rect">
                            <a:avLst/>
                          </a:prstGeom>
                        </pic:spPr>
                      </pic:pic>
                    </a:graphicData>
                  </a:graphic>
                </wp:inline>
              </w:drawing>
            </w:r>
          </w:p>
        </w:tc>
      </w:tr>
      <w:tr>
        <w:trPr/>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010" w:type="dxa"/>
            <w:tcBorders/>
            <w:vAlign w:val="center"/>
          </w:tcPr>
          <w:p>
            <w:pPr>
              <w:pStyle w:val="TableContents"/>
              <w:bidi w:val="0"/>
              <w:spacing w:before="0" w:after="283"/>
              <w:jc w:val="center"/>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30</w:t>
            </w:r>
          </w:p>
        </w:tc>
        <w:tc>
          <w:tcPr>
            <w:tcW w:w="9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57960943</w:t>
            </w:r>
          </w:p>
        </w:tc>
        <w:tc>
          <w:tcPr>
            <w:tcW w:w="9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w:t>
            </w:r>
          </w:p>
        </w:tc>
        <w:tc>
          <w:tcPr>
            <w:tcW w:w="90"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05/07/2022-05/06/2032</w:t>
            </w:r>
          </w:p>
        </w:tc>
        <w:tc>
          <w:tcPr>
            <w:tcW w:w="90" w:type="dxa"/>
            <w:tcBorders/>
            <w:shd w:fill="CCEEFF" w:val="clear"/>
            <w:vAlign w:val="center"/>
          </w:tcPr>
          <w:p>
            <w:pPr>
              <w:pStyle w:val="TableContents"/>
              <w:bidi w:val="0"/>
              <w:spacing w:before="0" w:after="283"/>
              <w:jc w:val="left"/>
              <w:rPr/>
            </w:pPr>
            <w:r>
              <w:rPr/>
              <w:t> </w:t>
            </w:r>
          </w:p>
        </w:tc>
        <w:tc>
          <w:tcPr>
            <w:tcW w:w="2010" w:type="dxa"/>
            <w:tcBorders/>
            <w:shd w:fill="CCEEFF" w:val="clear"/>
            <w:vAlign w:val="center"/>
          </w:tcPr>
          <w:p>
            <w:pPr>
              <w:pStyle w:val="TableContents"/>
              <w:bidi w:val="0"/>
              <w:spacing w:before="0" w:after="283"/>
              <w:jc w:val="center"/>
              <w:rPr/>
            </w:pPr>
            <w:r>
              <w:rPr/>
              <w:drawing>
                <wp:inline distT="0" distB="0" distL="0" distR="0">
                  <wp:extent cx="885825" cy="6381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885825" cy="638175"/>
                          </a:xfrm>
                          <a:prstGeom prst="rect">
                            <a:avLst/>
                          </a:prstGeom>
                        </pic:spPr>
                      </pic:pic>
                    </a:graphicData>
                  </a:graphic>
                </wp:inline>
              </w:drawing>
            </w:r>
          </w:p>
        </w:tc>
      </w:tr>
      <w:tr>
        <w:trPr/>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010" w:type="dxa"/>
            <w:tcBorders/>
            <w:vAlign w:val="center"/>
          </w:tcPr>
          <w:p>
            <w:pPr>
              <w:pStyle w:val="TableContents"/>
              <w:bidi w:val="0"/>
              <w:spacing w:before="0" w:after="283"/>
              <w:jc w:val="center"/>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w:t>
            </w:r>
          </w:p>
        </w:tc>
        <w:tc>
          <w:tcPr>
            <w:tcW w:w="9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60683235</w:t>
            </w:r>
          </w:p>
        </w:tc>
        <w:tc>
          <w:tcPr>
            <w:tcW w:w="9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w:t>
            </w:r>
          </w:p>
        </w:tc>
        <w:tc>
          <w:tcPr>
            <w:tcW w:w="90"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06/07/2022-06/06/2032</w:t>
            </w:r>
          </w:p>
        </w:tc>
        <w:tc>
          <w:tcPr>
            <w:tcW w:w="90" w:type="dxa"/>
            <w:tcBorders/>
            <w:shd w:fill="CCEEFF" w:val="clear"/>
            <w:vAlign w:val="center"/>
          </w:tcPr>
          <w:p>
            <w:pPr>
              <w:pStyle w:val="TableContents"/>
              <w:bidi w:val="0"/>
              <w:spacing w:before="0" w:after="283"/>
              <w:jc w:val="left"/>
              <w:rPr/>
            </w:pPr>
            <w:r>
              <w:rPr/>
              <w:t> </w:t>
            </w:r>
          </w:p>
        </w:tc>
        <w:tc>
          <w:tcPr>
            <w:tcW w:w="2010" w:type="dxa"/>
            <w:tcBorders/>
            <w:shd w:fill="CCEEFF" w:val="clear"/>
            <w:vAlign w:val="center"/>
          </w:tcPr>
          <w:p>
            <w:pPr>
              <w:pStyle w:val="TableContents"/>
              <w:bidi w:val="0"/>
              <w:spacing w:before="0" w:after="283"/>
              <w:jc w:val="center"/>
              <w:rPr/>
            </w:pPr>
            <w:r>
              <w:rPr/>
              <w:drawing>
                <wp:inline distT="0" distB="0" distL="0" distR="0">
                  <wp:extent cx="923925" cy="92392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923925" cy="923925"/>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965" w:type="dxa"/>
        <w:jc w:val="left"/>
        <w:tblInd w:w="0" w:type="dxa"/>
        <w:tblLayout w:type="fixed"/>
        <w:tblCellMar>
          <w:top w:w="0" w:type="dxa"/>
          <w:left w:w="0" w:type="dxa"/>
          <w:bottom w:w="0" w:type="dxa"/>
          <w:right w:w="0" w:type="dxa"/>
        </w:tblCellMar>
      </w:tblPr>
      <w:tblGrid>
        <w:gridCol w:w="275"/>
        <w:gridCol w:w="90"/>
        <w:gridCol w:w="1835"/>
        <w:gridCol w:w="90"/>
        <w:gridCol w:w="845"/>
        <w:gridCol w:w="90"/>
        <w:gridCol w:w="2030"/>
        <w:gridCol w:w="90"/>
        <w:gridCol w:w="1620"/>
      </w:tblGrid>
      <w:tr>
        <w:trPr/>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Registration Number</w:t>
            </w:r>
          </w:p>
        </w:tc>
        <w:tc>
          <w:tcPr>
            <w:tcW w:w="90" w:type="dxa"/>
            <w:tcBorders/>
            <w:vAlign w:val="center"/>
          </w:tcPr>
          <w:p>
            <w:pPr>
              <w:pStyle w:val="TableContents"/>
              <w:bidi w:val="0"/>
              <w:spacing w:before="0" w:after="283"/>
              <w:jc w:val="left"/>
              <w:rPr/>
            </w:pPr>
            <w:r>
              <w:rPr/>
              <w:t> </w:t>
            </w:r>
          </w:p>
        </w:tc>
        <w:tc>
          <w:tcPr>
            <w:tcW w:w="84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Category</w:t>
            </w:r>
          </w:p>
        </w:tc>
        <w:tc>
          <w:tcPr>
            <w:tcW w:w="90" w:type="dxa"/>
            <w:tcBorders/>
            <w:vAlign w:val="center"/>
          </w:tcPr>
          <w:p>
            <w:pPr>
              <w:pStyle w:val="TableContents"/>
              <w:bidi w:val="0"/>
              <w:spacing w:before="0" w:after="283"/>
              <w:jc w:val="left"/>
              <w:rPr/>
            </w:pPr>
            <w:r>
              <w:rPr/>
              <w:t> </w:t>
            </w:r>
          </w:p>
        </w:tc>
        <w:tc>
          <w:tcPr>
            <w:tcW w:w="203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Effective Period</w:t>
            </w:r>
          </w:p>
        </w:tc>
        <w:tc>
          <w:tcPr>
            <w:tcW w:w="90" w:type="dxa"/>
            <w:tcBorders/>
            <w:vAlign w:val="center"/>
          </w:tcPr>
          <w:p>
            <w:pPr>
              <w:pStyle w:val="TableContents"/>
              <w:bidi w:val="0"/>
              <w:spacing w:before="0" w:after="283"/>
              <w:jc w:val="left"/>
              <w:rPr/>
            </w:pPr>
            <w:r>
              <w:rPr/>
              <w:t> </w:t>
            </w:r>
          </w:p>
        </w:tc>
        <w:tc>
          <w:tcPr>
            <w:tcW w:w="162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Trademark Logo</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w:t>
            </w:r>
          </w:p>
        </w:tc>
        <w:tc>
          <w:tcPr>
            <w:tcW w:w="9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60681958</w:t>
            </w:r>
          </w:p>
        </w:tc>
        <w:tc>
          <w:tcPr>
            <w:tcW w:w="9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w:t>
            </w:r>
          </w:p>
        </w:tc>
        <w:tc>
          <w:tcPr>
            <w:tcW w:w="90"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06/07/2022-06/06/2032</w:t>
            </w:r>
          </w:p>
        </w:tc>
        <w:tc>
          <w:tcPr>
            <w:tcW w:w="90" w:type="dxa"/>
            <w:tcBorders/>
            <w:shd w:fill="CCEEFF" w:val="clear"/>
            <w:vAlign w:val="center"/>
          </w:tcPr>
          <w:p>
            <w:pPr>
              <w:pStyle w:val="TableContents"/>
              <w:bidi w:val="0"/>
              <w:spacing w:before="0" w:after="283"/>
              <w:jc w:val="left"/>
              <w:rPr/>
            </w:pPr>
            <w:r>
              <w:rPr/>
              <w:t> </w:t>
            </w:r>
          </w:p>
        </w:tc>
        <w:tc>
          <w:tcPr>
            <w:tcW w:w="1620" w:type="dxa"/>
            <w:tcBorders/>
            <w:shd w:fill="CCEEFF" w:val="clear"/>
            <w:vAlign w:val="center"/>
          </w:tcPr>
          <w:p>
            <w:pPr>
              <w:pStyle w:val="TableContents"/>
              <w:bidi w:val="0"/>
              <w:spacing w:before="0" w:after="283"/>
              <w:jc w:val="center"/>
              <w:rPr/>
            </w:pPr>
            <w:r>
              <w:rPr/>
              <w:drawing>
                <wp:inline distT="0" distB="0" distL="0" distR="0">
                  <wp:extent cx="923925" cy="92392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923925" cy="923925"/>
                          </a:xfrm>
                          <a:prstGeom prst="rect">
                            <a:avLst/>
                          </a:prstGeom>
                        </pic:spPr>
                      </pic:pic>
                    </a:graphicData>
                  </a:graphic>
                </wp:inline>
              </w:drawing>
            </w:r>
          </w:p>
        </w:tc>
      </w:tr>
      <w:tr>
        <w:trPr/>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620" w:type="dxa"/>
            <w:tcBorders/>
            <w:vAlign w:val="center"/>
          </w:tcPr>
          <w:p>
            <w:pPr>
              <w:pStyle w:val="TableContents"/>
              <w:bidi w:val="0"/>
              <w:spacing w:before="0" w:after="283"/>
              <w:jc w:val="center"/>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33</w:t>
            </w:r>
          </w:p>
        </w:tc>
        <w:tc>
          <w:tcPr>
            <w:tcW w:w="9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60676076</w:t>
            </w:r>
          </w:p>
        </w:tc>
        <w:tc>
          <w:tcPr>
            <w:tcW w:w="9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w:t>
            </w:r>
          </w:p>
        </w:tc>
        <w:tc>
          <w:tcPr>
            <w:tcW w:w="90"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05/21/2022-05/20/2032</w:t>
            </w:r>
          </w:p>
        </w:tc>
        <w:tc>
          <w:tcPr>
            <w:tcW w:w="90" w:type="dxa"/>
            <w:tcBorders/>
            <w:shd w:fill="CCEEFF" w:val="clear"/>
            <w:vAlign w:val="center"/>
          </w:tcPr>
          <w:p>
            <w:pPr>
              <w:pStyle w:val="TableContents"/>
              <w:bidi w:val="0"/>
              <w:spacing w:before="0" w:after="283"/>
              <w:jc w:val="left"/>
              <w:rPr/>
            </w:pPr>
            <w:r>
              <w:rPr/>
              <w:t> </w:t>
            </w:r>
          </w:p>
        </w:tc>
        <w:tc>
          <w:tcPr>
            <w:tcW w:w="1620" w:type="dxa"/>
            <w:tcBorders/>
            <w:shd w:fill="CCEEFF" w:val="clear"/>
            <w:vAlign w:val="center"/>
          </w:tcPr>
          <w:p>
            <w:pPr>
              <w:pStyle w:val="TableContents"/>
              <w:bidi w:val="0"/>
              <w:spacing w:before="0" w:after="283"/>
              <w:jc w:val="center"/>
              <w:rPr/>
            </w:pPr>
            <w:r>
              <w:rPr/>
              <w:drawing>
                <wp:inline distT="0" distB="0" distL="0" distR="0">
                  <wp:extent cx="981075" cy="9810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981075" cy="981075"/>
                          </a:xfrm>
                          <a:prstGeom prst="rect">
                            <a:avLst/>
                          </a:prstGeom>
                        </pic:spPr>
                      </pic:pic>
                    </a:graphicData>
                  </a:graphic>
                </wp:inline>
              </w:drawing>
            </w:r>
          </w:p>
        </w:tc>
      </w:tr>
      <w:tr>
        <w:trPr/>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620" w:type="dxa"/>
            <w:tcBorders/>
            <w:vAlign w:val="center"/>
          </w:tcPr>
          <w:p>
            <w:pPr>
              <w:pStyle w:val="TableContents"/>
              <w:bidi w:val="0"/>
              <w:spacing w:before="0" w:after="283"/>
              <w:jc w:val="center"/>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34</w:t>
            </w:r>
          </w:p>
        </w:tc>
        <w:tc>
          <w:tcPr>
            <w:tcW w:w="9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60707165</w:t>
            </w:r>
          </w:p>
        </w:tc>
        <w:tc>
          <w:tcPr>
            <w:tcW w:w="9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w:t>
            </w:r>
          </w:p>
        </w:tc>
        <w:tc>
          <w:tcPr>
            <w:tcW w:w="90"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05/21/2022-05/20/2032</w:t>
            </w:r>
          </w:p>
        </w:tc>
        <w:tc>
          <w:tcPr>
            <w:tcW w:w="90" w:type="dxa"/>
            <w:tcBorders/>
            <w:shd w:fill="CCEEFF" w:val="clear"/>
            <w:vAlign w:val="center"/>
          </w:tcPr>
          <w:p>
            <w:pPr>
              <w:pStyle w:val="TableContents"/>
              <w:bidi w:val="0"/>
              <w:spacing w:before="0" w:after="283"/>
              <w:jc w:val="left"/>
              <w:rPr/>
            </w:pPr>
            <w:r>
              <w:rPr/>
              <w:t> </w:t>
            </w:r>
          </w:p>
        </w:tc>
        <w:tc>
          <w:tcPr>
            <w:tcW w:w="1620" w:type="dxa"/>
            <w:tcBorders/>
            <w:shd w:fill="CCEEFF" w:val="clear"/>
            <w:vAlign w:val="center"/>
          </w:tcPr>
          <w:p>
            <w:pPr>
              <w:pStyle w:val="TableContents"/>
              <w:bidi w:val="0"/>
              <w:spacing w:before="0" w:after="283"/>
              <w:jc w:val="center"/>
              <w:rPr/>
            </w:pPr>
            <w:r>
              <w:rPr/>
              <w:drawing>
                <wp:inline distT="0" distB="0" distL="0" distR="0">
                  <wp:extent cx="981075" cy="9810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981075" cy="981075"/>
                          </a:xfrm>
                          <a:prstGeom prst="rect">
                            <a:avLst/>
                          </a:prstGeom>
                        </pic:spPr>
                      </pic:pic>
                    </a:graphicData>
                  </a:graphic>
                </wp:inline>
              </w:drawing>
            </w:r>
          </w:p>
        </w:tc>
      </w:tr>
      <w:tr>
        <w:trPr/>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620" w:type="dxa"/>
            <w:tcBorders/>
            <w:vAlign w:val="center"/>
          </w:tcPr>
          <w:p>
            <w:pPr>
              <w:pStyle w:val="TableContents"/>
              <w:bidi w:val="0"/>
              <w:spacing w:before="0" w:after="283"/>
              <w:jc w:val="center"/>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w:t>
            </w:r>
          </w:p>
        </w:tc>
        <w:tc>
          <w:tcPr>
            <w:tcW w:w="9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60676442</w:t>
            </w:r>
          </w:p>
        </w:tc>
        <w:tc>
          <w:tcPr>
            <w:tcW w:w="9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w:t>
            </w:r>
          </w:p>
        </w:tc>
        <w:tc>
          <w:tcPr>
            <w:tcW w:w="90"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06/07/2022-06/06/2032</w:t>
            </w:r>
          </w:p>
        </w:tc>
        <w:tc>
          <w:tcPr>
            <w:tcW w:w="90" w:type="dxa"/>
            <w:tcBorders/>
            <w:shd w:fill="CCEEFF" w:val="clear"/>
            <w:vAlign w:val="center"/>
          </w:tcPr>
          <w:p>
            <w:pPr>
              <w:pStyle w:val="TableContents"/>
              <w:bidi w:val="0"/>
              <w:spacing w:before="0" w:after="283"/>
              <w:jc w:val="left"/>
              <w:rPr/>
            </w:pPr>
            <w:r>
              <w:rPr/>
              <w:t> </w:t>
            </w:r>
          </w:p>
        </w:tc>
        <w:tc>
          <w:tcPr>
            <w:tcW w:w="1620" w:type="dxa"/>
            <w:tcBorders/>
            <w:shd w:fill="CCEEFF" w:val="clear"/>
            <w:vAlign w:val="center"/>
          </w:tcPr>
          <w:p>
            <w:pPr>
              <w:pStyle w:val="TableContents"/>
              <w:bidi w:val="0"/>
              <w:spacing w:before="0" w:after="283"/>
              <w:jc w:val="center"/>
              <w:rPr/>
            </w:pPr>
            <w:r>
              <w:rPr/>
              <w:drawing>
                <wp:inline distT="0" distB="0" distL="0" distR="0">
                  <wp:extent cx="923925" cy="92392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923925" cy="923925"/>
                          </a:xfrm>
                          <a:prstGeom prst="rect">
                            <a:avLst/>
                          </a:prstGeom>
                        </pic:spPr>
                      </pic:pic>
                    </a:graphicData>
                  </a:graphic>
                </wp:inline>
              </w:drawing>
            </w:r>
          </w:p>
        </w:tc>
      </w:tr>
      <w:tr>
        <w:trPr/>
        <w:tc>
          <w:tcPr>
            <w:tcW w:w="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620" w:type="dxa"/>
            <w:tcBorders/>
            <w:vAlign w:val="center"/>
          </w:tcPr>
          <w:p>
            <w:pPr>
              <w:pStyle w:val="TableContents"/>
              <w:bidi w:val="0"/>
              <w:spacing w:before="0" w:after="283"/>
              <w:jc w:val="center"/>
              <w:rPr/>
            </w:pPr>
            <w:r>
              <w:rPr/>
              <w:t> </w:t>
            </w:r>
          </w:p>
        </w:tc>
      </w:tr>
      <w:tr>
        <w:trPr/>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36</w:t>
            </w:r>
          </w:p>
        </w:tc>
        <w:tc>
          <w:tcPr>
            <w:tcW w:w="90" w:type="dxa"/>
            <w:tcBorders/>
            <w:shd w:fill="CCEEFF" w:val="clear"/>
            <w:vAlign w:val="center"/>
          </w:tcPr>
          <w:p>
            <w:pPr>
              <w:pStyle w:val="TableContents"/>
              <w:bidi w:val="0"/>
              <w:spacing w:before="0" w:after="283"/>
              <w:jc w:val="left"/>
              <w:rPr/>
            </w:pPr>
            <w:r>
              <w:rPr/>
              <w:t> </w:t>
            </w:r>
          </w:p>
        </w:tc>
        <w:tc>
          <w:tcPr>
            <w:tcW w:w="18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60707345</w:t>
            </w:r>
          </w:p>
        </w:tc>
        <w:tc>
          <w:tcPr>
            <w:tcW w:w="9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w:t>
            </w:r>
          </w:p>
        </w:tc>
        <w:tc>
          <w:tcPr>
            <w:tcW w:w="90"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06/07/2022-06/06/2032</w:t>
            </w:r>
          </w:p>
        </w:tc>
        <w:tc>
          <w:tcPr>
            <w:tcW w:w="90" w:type="dxa"/>
            <w:tcBorders/>
            <w:shd w:fill="CCEEFF" w:val="clear"/>
            <w:vAlign w:val="center"/>
          </w:tcPr>
          <w:p>
            <w:pPr>
              <w:pStyle w:val="TableContents"/>
              <w:bidi w:val="0"/>
              <w:spacing w:before="0" w:after="283"/>
              <w:jc w:val="left"/>
              <w:rPr/>
            </w:pPr>
            <w:r>
              <w:rPr/>
              <w:t> </w:t>
            </w:r>
          </w:p>
        </w:tc>
        <w:tc>
          <w:tcPr>
            <w:tcW w:w="1620" w:type="dxa"/>
            <w:tcBorders/>
            <w:shd w:fill="CCEEFF" w:val="clear"/>
            <w:vAlign w:val="center"/>
          </w:tcPr>
          <w:p>
            <w:pPr>
              <w:pStyle w:val="TableContents"/>
              <w:bidi w:val="0"/>
              <w:spacing w:before="0" w:after="283"/>
              <w:jc w:val="center"/>
              <w:rPr/>
            </w:pPr>
            <w:r>
              <w:rPr/>
              <w:drawing>
                <wp:inline distT="0" distB="0" distL="0" distR="0">
                  <wp:extent cx="981075" cy="9810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981075" cy="981075"/>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Trademarks Registered in the U.S.</w:t>
      </w:r>
    </w:p>
    <w:p>
      <w:pPr>
        <w:pStyle w:val="TextBody"/>
        <w:bidi w:val="0"/>
        <w:spacing w:before="0" w:after="0"/>
        <w:ind w:left="0" w:right="0" w:hanging="0"/>
        <w:jc w:val="center"/>
        <w:rPr>
          <w:caps w:val="false"/>
          <w:smallCaps w:val="false"/>
        </w:rPr>
      </w:pPr>
      <w:r>
        <w:rPr>
          <w:caps w:val="false"/>
          <w:smallCaps w:val="false"/>
        </w:rPr>
        <w:t> </w:t>
      </w:r>
    </w:p>
    <w:tbl>
      <w:tblPr>
        <w:tblW w:w="6555" w:type="dxa"/>
        <w:jc w:val="left"/>
        <w:tblInd w:w="0" w:type="dxa"/>
        <w:tblLayout w:type="fixed"/>
        <w:tblCellMar>
          <w:top w:w="0" w:type="dxa"/>
          <w:left w:w="0" w:type="dxa"/>
          <w:bottom w:w="0" w:type="dxa"/>
          <w:right w:w="0" w:type="dxa"/>
        </w:tblCellMar>
      </w:tblPr>
      <w:tblGrid>
        <w:gridCol w:w="170"/>
        <w:gridCol w:w="90"/>
        <w:gridCol w:w="1835"/>
        <w:gridCol w:w="90"/>
        <w:gridCol w:w="1535"/>
        <w:gridCol w:w="90"/>
        <w:gridCol w:w="2745"/>
      </w:tblGrid>
      <w:tr>
        <w:trPr/>
        <w:tc>
          <w:tcPr>
            <w:tcW w:w="1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83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Registration Number</w:t>
            </w:r>
          </w:p>
        </w:tc>
        <w:tc>
          <w:tcPr>
            <w:tcW w:w="90" w:type="dxa"/>
            <w:tcBorders/>
            <w:vAlign w:val="center"/>
          </w:tcPr>
          <w:p>
            <w:pPr>
              <w:pStyle w:val="TableContents"/>
              <w:bidi w:val="0"/>
              <w:spacing w:before="0" w:after="283"/>
              <w:jc w:val="center"/>
              <w:rPr/>
            </w:pPr>
            <w:r>
              <w:rPr/>
              <w:t> </w:t>
            </w:r>
          </w:p>
        </w:tc>
        <w:tc>
          <w:tcPr>
            <w:tcW w:w="153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Registration Date</w:t>
            </w:r>
          </w:p>
        </w:tc>
        <w:tc>
          <w:tcPr>
            <w:tcW w:w="90" w:type="dxa"/>
            <w:tcBorders/>
            <w:vAlign w:val="center"/>
          </w:tcPr>
          <w:p>
            <w:pPr>
              <w:pStyle w:val="TableContents"/>
              <w:bidi w:val="0"/>
              <w:spacing w:before="0" w:after="283"/>
              <w:jc w:val="center"/>
              <w:rPr/>
            </w:pPr>
            <w:r>
              <w:rPr/>
              <w:t> </w:t>
            </w:r>
          </w:p>
        </w:tc>
        <w:tc>
          <w:tcPr>
            <w:tcW w:w="274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Trademark Logo</w:t>
            </w:r>
          </w:p>
        </w:tc>
      </w:tr>
      <w:tr>
        <w:trPr/>
        <w:tc>
          <w:tcPr>
            <w:tcW w:w="1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0" w:type="dxa"/>
            <w:tcBorders/>
            <w:shd w:fill="CCEEFF" w:val="clear"/>
            <w:vAlign w:val="center"/>
          </w:tcPr>
          <w:p>
            <w:pPr>
              <w:pStyle w:val="TableContents"/>
              <w:bidi w:val="0"/>
              <w:spacing w:before="0" w:after="283"/>
              <w:jc w:val="center"/>
              <w:rPr/>
            </w:pPr>
            <w:r>
              <w:rPr/>
              <w:t> </w:t>
            </w:r>
          </w:p>
        </w:tc>
        <w:tc>
          <w:tcPr>
            <w:tcW w:w="18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5785931</w:t>
            </w:r>
          </w:p>
        </w:tc>
        <w:tc>
          <w:tcPr>
            <w:tcW w:w="90" w:type="dxa"/>
            <w:tcBorders/>
            <w:shd w:fill="CCEEFF" w:val="clear"/>
            <w:vAlign w:val="center"/>
          </w:tcPr>
          <w:p>
            <w:pPr>
              <w:pStyle w:val="TableContents"/>
              <w:bidi w:val="0"/>
              <w:spacing w:before="0" w:after="283"/>
              <w:jc w:val="center"/>
              <w:rPr/>
            </w:pPr>
            <w:r>
              <w:rPr/>
              <w:t> </w:t>
            </w:r>
          </w:p>
        </w:tc>
        <w:tc>
          <w:tcPr>
            <w:tcW w:w="153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25, 2019</w:t>
            </w:r>
          </w:p>
        </w:tc>
        <w:tc>
          <w:tcPr>
            <w:tcW w:w="90" w:type="dxa"/>
            <w:tcBorders/>
            <w:shd w:fill="CCEEFF" w:val="clear"/>
            <w:vAlign w:val="center"/>
          </w:tcPr>
          <w:p>
            <w:pPr>
              <w:pStyle w:val="TableContents"/>
              <w:bidi w:val="0"/>
              <w:spacing w:before="0" w:after="283"/>
              <w:jc w:val="left"/>
              <w:rPr/>
            </w:pPr>
            <w:r>
              <w:rPr/>
              <w:t> </w:t>
            </w:r>
          </w:p>
        </w:tc>
        <w:tc>
          <w:tcPr>
            <w:tcW w:w="27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CHANSON</w:t>
            </w:r>
            <w:r>
              <w:rPr>
                <w:rFonts w:ascii="Times New Roman;Times;Serif" w:hAnsi="Times New Roman;Times;Serif"/>
                <w:position w:val="7"/>
                <w:sz w:val="16"/>
                <w:sz w:val="20"/>
              </w:rPr>
              <w:t>TM</w:t>
            </w:r>
          </w:p>
        </w:tc>
      </w:tr>
      <w:tr>
        <w:trPr/>
        <w:tc>
          <w:tcPr>
            <w:tcW w:w="1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8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53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745" w:type="dxa"/>
            <w:tcBorders/>
            <w:vAlign w:val="center"/>
          </w:tcPr>
          <w:p>
            <w:pPr>
              <w:pStyle w:val="TableContents"/>
              <w:bidi w:val="0"/>
              <w:spacing w:before="0" w:after="283"/>
              <w:jc w:val="center"/>
              <w:rPr/>
            </w:pPr>
            <w:r>
              <w:rPr/>
              <w:t> </w:t>
            </w:r>
          </w:p>
        </w:tc>
      </w:tr>
      <w:tr>
        <w:trPr/>
        <w:tc>
          <w:tcPr>
            <w:tcW w:w="1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0" w:type="dxa"/>
            <w:tcBorders/>
            <w:shd w:fill="CCEEFF" w:val="clear"/>
            <w:vAlign w:val="center"/>
          </w:tcPr>
          <w:p>
            <w:pPr>
              <w:pStyle w:val="TableContents"/>
              <w:bidi w:val="0"/>
              <w:spacing w:before="0" w:after="283"/>
              <w:jc w:val="center"/>
              <w:rPr/>
            </w:pPr>
            <w:r>
              <w:rPr/>
              <w:t> </w:t>
            </w:r>
          </w:p>
        </w:tc>
        <w:tc>
          <w:tcPr>
            <w:tcW w:w="18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5768100</w:t>
            </w:r>
          </w:p>
        </w:tc>
        <w:tc>
          <w:tcPr>
            <w:tcW w:w="90" w:type="dxa"/>
            <w:tcBorders/>
            <w:shd w:fill="CCEEFF" w:val="clear"/>
            <w:vAlign w:val="center"/>
          </w:tcPr>
          <w:p>
            <w:pPr>
              <w:pStyle w:val="TableContents"/>
              <w:bidi w:val="0"/>
              <w:spacing w:before="0" w:after="283"/>
              <w:jc w:val="center"/>
              <w:rPr/>
            </w:pPr>
            <w:r>
              <w:rPr/>
              <w:t> </w:t>
            </w:r>
          </w:p>
        </w:tc>
        <w:tc>
          <w:tcPr>
            <w:tcW w:w="153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4, 2019</w:t>
            </w:r>
          </w:p>
        </w:tc>
        <w:tc>
          <w:tcPr>
            <w:tcW w:w="90" w:type="dxa"/>
            <w:tcBorders/>
            <w:shd w:fill="CCEEFF" w:val="clear"/>
            <w:vAlign w:val="center"/>
          </w:tcPr>
          <w:p>
            <w:pPr>
              <w:pStyle w:val="TableContents"/>
              <w:bidi w:val="0"/>
              <w:spacing w:before="0" w:after="283"/>
              <w:jc w:val="left"/>
              <w:rPr/>
            </w:pPr>
            <w:r>
              <w:rPr/>
              <w:t> </w:t>
            </w:r>
          </w:p>
        </w:tc>
        <w:tc>
          <w:tcPr>
            <w:tcW w:w="2745" w:type="dxa"/>
            <w:tcBorders/>
            <w:shd w:fill="CCEEFF" w:val="clear"/>
            <w:vAlign w:val="center"/>
          </w:tcPr>
          <w:p>
            <w:pPr>
              <w:pStyle w:val="TableContents"/>
              <w:bidi w:val="0"/>
              <w:spacing w:before="0" w:after="283"/>
              <w:jc w:val="center"/>
              <w:rPr/>
            </w:pPr>
            <w:r>
              <w:rPr/>
              <w:drawing>
                <wp:inline distT="0" distB="0" distL="0" distR="0">
                  <wp:extent cx="1695450" cy="14382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1695450" cy="1438275"/>
                          </a:xfrm>
                          <a:prstGeom prst="rect">
                            <a:avLst/>
                          </a:prstGeom>
                        </pic:spPr>
                      </pic:pic>
                    </a:graphicData>
                  </a:graphic>
                </wp:inline>
              </w:drawing>
            </w:r>
          </w:p>
        </w:tc>
      </w:tr>
      <w:tr>
        <w:trPr/>
        <w:tc>
          <w:tcPr>
            <w:tcW w:w="1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8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53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745" w:type="dxa"/>
            <w:tcBorders/>
            <w:vAlign w:val="center"/>
          </w:tcPr>
          <w:p>
            <w:pPr>
              <w:pStyle w:val="TableContents"/>
              <w:bidi w:val="0"/>
              <w:spacing w:before="0" w:after="283"/>
              <w:jc w:val="center"/>
              <w:rPr/>
            </w:pPr>
            <w:r>
              <w:rPr/>
              <w:t> </w:t>
            </w:r>
          </w:p>
        </w:tc>
      </w:tr>
      <w:tr>
        <w:trPr/>
        <w:tc>
          <w:tcPr>
            <w:tcW w:w="1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0" w:type="dxa"/>
            <w:tcBorders/>
            <w:shd w:fill="CCEEFF" w:val="clear"/>
            <w:vAlign w:val="center"/>
          </w:tcPr>
          <w:p>
            <w:pPr>
              <w:pStyle w:val="TableContents"/>
              <w:bidi w:val="0"/>
              <w:spacing w:before="0" w:after="283"/>
              <w:jc w:val="center"/>
              <w:rPr/>
            </w:pPr>
            <w:r>
              <w:rPr/>
              <w:t> </w:t>
            </w:r>
          </w:p>
        </w:tc>
        <w:tc>
          <w:tcPr>
            <w:tcW w:w="18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5768096</w:t>
            </w:r>
          </w:p>
        </w:tc>
        <w:tc>
          <w:tcPr>
            <w:tcW w:w="90" w:type="dxa"/>
            <w:tcBorders/>
            <w:shd w:fill="CCEEFF" w:val="clear"/>
            <w:vAlign w:val="center"/>
          </w:tcPr>
          <w:p>
            <w:pPr>
              <w:pStyle w:val="TableContents"/>
              <w:bidi w:val="0"/>
              <w:spacing w:before="0" w:after="283"/>
              <w:jc w:val="center"/>
              <w:rPr/>
            </w:pPr>
            <w:r>
              <w:rPr/>
              <w:t> </w:t>
            </w:r>
          </w:p>
        </w:tc>
        <w:tc>
          <w:tcPr>
            <w:tcW w:w="153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4, 2019</w:t>
            </w:r>
          </w:p>
        </w:tc>
        <w:tc>
          <w:tcPr>
            <w:tcW w:w="90" w:type="dxa"/>
            <w:tcBorders/>
            <w:shd w:fill="CCEEFF" w:val="clear"/>
            <w:vAlign w:val="center"/>
          </w:tcPr>
          <w:p>
            <w:pPr>
              <w:pStyle w:val="TableContents"/>
              <w:bidi w:val="0"/>
              <w:spacing w:before="0" w:after="283"/>
              <w:jc w:val="left"/>
              <w:rPr/>
            </w:pPr>
            <w:r>
              <w:rPr/>
              <w:t> </w:t>
            </w:r>
          </w:p>
        </w:tc>
        <w:tc>
          <w:tcPr>
            <w:tcW w:w="2745" w:type="dxa"/>
            <w:tcBorders/>
            <w:shd w:fill="CCEEFF" w:val="clear"/>
            <w:vAlign w:val="center"/>
          </w:tcPr>
          <w:p>
            <w:pPr>
              <w:pStyle w:val="TableContents"/>
              <w:bidi w:val="0"/>
              <w:spacing w:before="0" w:after="283"/>
              <w:jc w:val="center"/>
              <w:rPr/>
            </w:pPr>
            <w:r>
              <w:rPr/>
              <w:drawing>
                <wp:inline distT="0" distB="0" distL="0" distR="0">
                  <wp:extent cx="1628775" cy="58102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1628775" cy="581025"/>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tbl>
      <w:tblPr>
        <w:tblW w:w="6555" w:type="dxa"/>
        <w:jc w:val="left"/>
        <w:tblInd w:w="0" w:type="dxa"/>
        <w:tblLayout w:type="fixed"/>
        <w:tblCellMar>
          <w:top w:w="0" w:type="dxa"/>
          <w:left w:w="0" w:type="dxa"/>
          <w:bottom w:w="0" w:type="dxa"/>
          <w:right w:w="0" w:type="dxa"/>
        </w:tblCellMar>
      </w:tblPr>
      <w:tblGrid>
        <w:gridCol w:w="170"/>
        <w:gridCol w:w="90"/>
        <w:gridCol w:w="1835"/>
        <w:gridCol w:w="90"/>
        <w:gridCol w:w="1535"/>
        <w:gridCol w:w="90"/>
        <w:gridCol w:w="2745"/>
      </w:tblGrid>
      <w:tr>
        <w:trPr/>
        <w:tc>
          <w:tcPr>
            <w:tcW w:w="1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83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Registration Number</w:t>
            </w:r>
          </w:p>
        </w:tc>
        <w:tc>
          <w:tcPr>
            <w:tcW w:w="90" w:type="dxa"/>
            <w:tcBorders/>
            <w:vAlign w:val="center"/>
          </w:tcPr>
          <w:p>
            <w:pPr>
              <w:pStyle w:val="TableContents"/>
              <w:bidi w:val="0"/>
              <w:spacing w:before="0" w:after="283"/>
              <w:jc w:val="center"/>
              <w:rPr/>
            </w:pPr>
            <w:r>
              <w:rPr/>
              <w:t> </w:t>
            </w:r>
          </w:p>
        </w:tc>
        <w:tc>
          <w:tcPr>
            <w:tcW w:w="153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Registration Date</w:t>
            </w:r>
          </w:p>
        </w:tc>
        <w:tc>
          <w:tcPr>
            <w:tcW w:w="90" w:type="dxa"/>
            <w:tcBorders/>
            <w:vAlign w:val="center"/>
          </w:tcPr>
          <w:p>
            <w:pPr>
              <w:pStyle w:val="TableContents"/>
              <w:bidi w:val="0"/>
              <w:spacing w:before="0" w:after="283"/>
              <w:jc w:val="center"/>
              <w:rPr/>
            </w:pPr>
            <w:r>
              <w:rPr/>
              <w:t> </w:t>
            </w:r>
          </w:p>
        </w:tc>
        <w:tc>
          <w:tcPr>
            <w:tcW w:w="274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Trademark Logo</w:t>
            </w:r>
          </w:p>
        </w:tc>
      </w:tr>
      <w:tr>
        <w:trPr/>
        <w:tc>
          <w:tcPr>
            <w:tcW w:w="1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0" w:type="dxa"/>
            <w:tcBorders/>
            <w:shd w:fill="CCEEFF" w:val="clear"/>
            <w:vAlign w:val="center"/>
          </w:tcPr>
          <w:p>
            <w:pPr>
              <w:pStyle w:val="TableContents"/>
              <w:bidi w:val="0"/>
              <w:spacing w:before="0" w:after="283"/>
              <w:jc w:val="center"/>
              <w:rPr/>
            </w:pPr>
            <w:r>
              <w:rPr/>
              <w:t> </w:t>
            </w:r>
          </w:p>
        </w:tc>
        <w:tc>
          <w:tcPr>
            <w:tcW w:w="18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5785931</w:t>
            </w:r>
          </w:p>
        </w:tc>
        <w:tc>
          <w:tcPr>
            <w:tcW w:w="90" w:type="dxa"/>
            <w:tcBorders/>
            <w:shd w:fill="CCEEFF" w:val="clear"/>
            <w:vAlign w:val="center"/>
          </w:tcPr>
          <w:p>
            <w:pPr>
              <w:pStyle w:val="TableContents"/>
              <w:bidi w:val="0"/>
              <w:spacing w:before="0" w:after="283"/>
              <w:jc w:val="center"/>
              <w:rPr/>
            </w:pPr>
            <w:r>
              <w:rPr/>
              <w:t> </w:t>
            </w:r>
          </w:p>
        </w:tc>
        <w:tc>
          <w:tcPr>
            <w:tcW w:w="153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25, 2019</w:t>
            </w:r>
          </w:p>
        </w:tc>
        <w:tc>
          <w:tcPr>
            <w:tcW w:w="90" w:type="dxa"/>
            <w:tcBorders/>
            <w:shd w:fill="CCEEFF" w:val="clear"/>
            <w:vAlign w:val="center"/>
          </w:tcPr>
          <w:p>
            <w:pPr>
              <w:pStyle w:val="TableContents"/>
              <w:bidi w:val="0"/>
              <w:spacing w:before="0" w:after="283"/>
              <w:jc w:val="left"/>
              <w:rPr/>
            </w:pPr>
            <w:r>
              <w:rPr/>
              <w:t> </w:t>
            </w:r>
          </w:p>
        </w:tc>
        <w:tc>
          <w:tcPr>
            <w:tcW w:w="27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CHANSON</w:t>
            </w:r>
            <w:r>
              <w:rPr>
                <w:rFonts w:ascii="Times New Roman;Times;Serif" w:hAnsi="Times New Roman;Times;Serif"/>
                <w:position w:val="7"/>
                <w:sz w:val="16"/>
                <w:sz w:val="20"/>
              </w:rPr>
              <w:t>TM</w:t>
            </w:r>
          </w:p>
        </w:tc>
      </w:tr>
      <w:tr>
        <w:trPr/>
        <w:tc>
          <w:tcPr>
            <w:tcW w:w="1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8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53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745" w:type="dxa"/>
            <w:tcBorders/>
            <w:vAlign w:val="center"/>
          </w:tcPr>
          <w:p>
            <w:pPr>
              <w:pStyle w:val="TableContents"/>
              <w:bidi w:val="0"/>
              <w:spacing w:before="0" w:after="283"/>
              <w:jc w:val="center"/>
              <w:rPr/>
            </w:pPr>
            <w:r>
              <w:rPr/>
              <w:t> </w:t>
            </w:r>
          </w:p>
        </w:tc>
      </w:tr>
      <w:tr>
        <w:trPr/>
        <w:tc>
          <w:tcPr>
            <w:tcW w:w="1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0" w:type="dxa"/>
            <w:tcBorders/>
            <w:shd w:fill="CCEEFF" w:val="clear"/>
            <w:vAlign w:val="center"/>
          </w:tcPr>
          <w:p>
            <w:pPr>
              <w:pStyle w:val="TableContents"/>
              <w:bidi w:val="0"/>
              <w:spacing w:before="0" w:after="283"/>
              <w:jc w:val="center"/>
              <w:rPr/>
            </w:pPr>
            <w:r>
              <w:rPr/>
              <w:t> </w:t>
            </w:r>
          </w:p>
        </w:tc>
        <w:tc>
          <w:tcPr>
            <w:tcW w:w="18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5768100</w:t>
            </w:r>
          </w:p>
        </w:tc>
        <w:tc>
          <w:tcPr>
            <w:tcW w:w="90" w:type="dxa"/>
            <w:tcBorders/>
            <w:shd w:fill="CCEEFF" w:val="clear"/>
            <w:vAlign w:val="center"/>
          </w:tcPr>
          <w:p>
            <w:pPr>
              <w:pStyle w:val="TableContents"/>
              <w:bidi w:val="0"/>
              <w:spacing w:before="0" w:after="283"/>
              <w:jc w:val="center"/>
              <w:rPr/>
            </w:pPr>
            <w:r>
              <w:rPr/>
              <w:t> </w:t>
            </w:r>
          </w:p>
        </w:tc>
        <w:tc>
          <w:tcPr>
            <w:tcW w:w="153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4, 2019</w:t>
            </w:r>
          </w:p>
        </w:tc>
        <w:tc>
          <w:tcPr>
            <w:tcW w:w="90" w:type="dxa"/>
            <w:tcBorders/>
            <w:shd w:fill="CCEEFF" w:val="clear"/>
            <w:vAlign w:val="center"/>
          </w:tcPr>
          <w:p>
            <w:pPr>
              <w:pStyle w:val="TableContents"/>
              <w:bidi w:val="0"/>
              <w:spacing w:before="0" w:after="283"/>
              <w:jc w:val="left"/>
              <w:rPr/>
            </w:pPr>
            <w:r>
              <w:rPr/>
              <w:t> </w:t>
            </w:r>
          </w:p>
        </w:tc>
        <w:tc>
          <w:tcPr>
            <w:tcW w:w="2745" w:type="dxa"/>
            <w:tcBorders/>
            <w:shd w:fill="CCEEFF" w:val="clear"/>
            <w:vAlign w:val="center"/>
          </w:tcPr>
          <w:p>
            <w:pPr>
              <w:pStyle w:val="TableContents"/>
              <w:bidi w:val="0"/>
              <w:spacing w:before="0" w:after="283"/>
              <w:jc w:val="center"/>
              <w:rPr/>
            </w:pPr>
            <w:r>
              <w:rPr/>
              <w:drawing>
                <wp:inline distT="0" distB="0" distL="0" distR="0">
                  <wp:extent cx="1695450" cy="14382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1695450" cy="1438275"/>
                          </a:xfrm>
                          <a:prstGeom prst="rect">
                            <a:avLst/>
                          </a:prstGeom>
                        </pic:spPr>
                      </pic:pic>
                    </a:graphicData>
                  </a:graphic>
                </wp:inline>
              </w:drawing>
            </w:r>
          </w:p>
        </w:tc>
      </w:tr>
      <w:tr>
        <w:trPr/>
        <w:tc>
          <w:tcPr>
            <w:tcW w:w="1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8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53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745" w:type="dxa"/>
            <w:tcBorders/>
            <w:vAlign w:val="center"/>
          </w:tcPr>
          <w:p>
            <w:pPr>
              <w:pStyle w:val="TableContents"/>
              <w:bidi w:val="0"/>
              <w:spacing w:before="0" w:after="283"/>
              <w:jc w:val="center"/>
              <w:rPr/>
            </w:pPr>
            <w:r>
              <w:rPr/>
              <w:t> </w:t>
            </w:r>
          </w:p>
        </w:tc>
      </w:tr>
      <w:tr>
        <w:trPr/>
        <w:tc>
          <w:tcPr>
            <w:tcW w:w="1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0" w:type="dxa"/>
            <w:tcBorders/>
            <w:shd w:fill="CCEEFF" w:val="clear"/>
            <w:vAlign w:val="center"/>
          </w:tcPr>
          <w:p>
            <w:pPr>
              <w:pStyle w:val="TableContents"/>
              <w:bidi w:val="0"/>
              <w:spacing w:before="0" w:after="283"/>
              <w:jc w:val="center"/>
              <w:rPr/>
            </w:pPr>
            <w:r>
              <w:rPr/>
              <w:t> </w:t>
            </w:r>
          </w:p>
        </w:tc>
        <w:tc>
          <w:tcPr>
            <w:tcW w:w="18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5768096</w:t>
            </w:r>
          </w:p>
        </w:tc>
        <w:tc>
          <w:tcPr>
            <w:tcW w:w="90" w:type="dxa"/>
            <w:tcBorders/>
            <w:shd w:fill="CCEEFF" w:val="clear"/>
            <w:vAlign w:val="center"/>
          </w:tcPr>
          <w:p>
            <w:pPr>
              <w:pStyle w:val="TableContents"/>
              <w:bidi w:val="0"/>
              <w:spacing w:before="0" w:after="283"/>
              <w:jc w:val="center"/>
              <w:rPr/>
            </w:pPr>
            <w:r>
              <w:rPr/>
              <w:t> </w:t>
            </w:r>
          </w:p>
        </w:tc>
        <w:tc>
          <w:tcPr>
            <w:tcW w:w="153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4, 2019</w:t>
            </w:r>
          </w:p>
        </w:tc>
        <w:tc>
          <w:tcPr>
            <w:tcW w:w="90" w:type="dxa"/>
            <w:tcBorders/>
            <w:shd w:fill="CCEEFF" w:val="clear"/>
            <w:vAlign w:val="center"/>
          </w:tcPr>
          <w:p>
            <w:pPr>
              <w:pStyle w:val="TableContents"/>
              <w:bidi w:val="0"/>
              <w:spacing w:before="0" w:after="283"/>
              <w:jc w:val="left"/>
              <w:rPr/>
            </w:pPr>
            <w:r>
              <w:rPr/>
              <w:t> </w:t>
            </w:r>
          </w:p>
        </w:tc>
        <w:tc>
          <w:tcPr>
            <w:tcW w:w="2745" w:type="dxa"/>
            <w:tcBorders/>
            <w:shd w:fill="CCEEFF" w:val="clear"/>
            <w:vAlign w:val="center"/>
          </w:tcPr>
          <w:p>
            <w:pPr>
              <w:pStyle w:val="TableContents"/>
              <w:bidi w:val="0"/>
              <w:spacing w:before="0" w:after="283"/>
              <w:jc w:val="center"/>
              <w:rPr/>
            </w:pPr>
            <w:r>
              <w:rPr/>
              <w:drawing>
                <wp:inline distT="0" distB="0" distL="0" distR="0">
                  <wp:extent cx="1628775" cy="58102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1628775" cy="581025"/>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Chanson 23rd Street is also currently registering a trademark for Thyme Bar in the U.S. and the trademark was published in the Trademark Official Gazette on March 29,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Domain Names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entities own the internet domain names ir.chanson-international.net, www.patisseriechanson.us, and www.thymebarnyc.com in the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the operating entities do not own any patent and have not applied for the registration of patent design or any other means of patent protection. Nevertheless, the operating entities plan to actively apply for patent protection with respect to their independently designed packaging methods and production methods.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2024, and 2023, our PRC subsidiary and the VIEs had 471, 369, and 356 employees and our subsidiaries in the U.S. had 26, 36, and 54 employees, respectively. The following table sets forth the number of employees of our subsidiaries and the VIEs on December 31, 2025 by area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 based in the PRC</w:t>
      </w:r>
    </w:p>
    <w:p>
      <w:pPr>
        <w:pStyle w:val="TextBody"/>
        <w:bidi w:val="0"/>
        <w:spacing w:before="0" w:after="0"/>
        <w:ind w:left="0" w:right="0" w:hanging="0"/>
        <w:jc w:val="both"/>
        <w:rPr>
          <w:caps w:val="false"/>
          <w:smallCaps w:val="false"/>
        </w:rPr>
      </w:pPr>
      <w:r>
        <w:rPr>
          <w:caps w:val="false"/>
          <w:smallCaps w:val="false"/>
        </w:rPr>
        <w:t> </w:t>
      </w:r>
    </w:p>
    <w:tbl>
      <w:tblPr>
        <w:tblW w:w="4074" w:type="dxa"/>
        <w:jc w:val="left"/>
        <w:tblInd w:w="0" w:type="dxa"/>
        <w:tblLayout w:type="fixed"/>
        <w:tblCellMar>
          <w:top w:w="0" w:type="dxa"/>
          <w:left w:w="0" w:type="dxa"/>
          <w:bottom w:w="0" w:type="dxa"/>
          <w:right w:w="0" w:type="dxa"/>
        </w:tblCellMar>
      </w:tblPr>
      <w:tblGrid>
        <w:gridCol w:w="2690"/>
        <w:gridCol w:w="90"/>
        <w:gridCol w:w="208"/>
        <w:gridCol w:w="951"/>
        <w:gridCol w:w="135"/>
      </w:tblGrid>
      <w:tr>
        <w:trPr/>
        <w:tc>
          <w:tcPr>
            <w:tcW w:w="26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5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 of</w:t>
              <w:br/>
              <w:t>Employees</w:t>
            </w:r>
          </w:p>
        </w:tc>
        <w:tc>
          <w:tcPr>
            <w:tcW w:w="135" w:type="dxa"/>
            <w:tcBorders/>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Management</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w:t>
            </w:r>
          </w:p>
        </w:tc>
        <w:tc>
          <w:tcPr>
            <w:tcW w:w="135" w:type="dxa"/>
            <w:tcBorders/>
            <w:shd w:fill="CCEEFF" w:val="clear"/>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Finance</w:t>
            </w:r>
          </w:p>
        </w:tc>
        <w:tc>
          <w:tcPr>
            <w:tcW w:w="9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w:t>
            </w:r>
          </w:p>
        </w:tc>
        <w:tc>
          <w:tcPr>
            <w:tcW w:w="135" w:type="dxa"/>
            <w:tcBorders/>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Production and R&amp;D</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w:t>
            </w:r>
          </w:p>
        </w:tc>
        <w:tc>
          <w:tcPr>
            <w:tcW w:w="135" w:type="dxa"/>
            <w:tcBorders/>
            <w:shd w:fill="CCEEFF" w:val="clear"/>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Administration</w:t>
            </w:r>
          </w:p>
        </w:tc>
        <w:tc>
          <w:tcPr>
            <w:tcW w:w="9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w:t>
            </w:r>
          </w:p>
        </w:tc>
        <w:tc>
          <w:tcPr>
            <w:tcW w:w="135" w:type="dxa"/>
            <w:tcBorders/>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Logistics</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w:t>
            </w:r>
          </w:p>
        </w:tc>
        <w:tc>
          <w:tcPr>
            <w:tcW w:w="135" w:type="dxa"/>
            <w:tcBorders/>
            <w:shd w:fill="CCEEFF" w:val="clear"/>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Marketing and Sales</w:t>
            </w:r>
          </w:p>
        </w:tc>
        <w:tc>
          <w:tcPr>
            <w:tcW w:w="90" w:type="dxa"/>
            <w:tcBorders/>
            <w:vAlign w:val="center"/>
          </w:tcPr>
          <w:p>
            <w:pPr>
              <w:pStyle w:val="TableContents"/>
              <w:bidi w:val="0"/>
              <w:spacing w:before="0" w:after="283"/>
              <w:jc w:val="left"/>
              <w:rPr/>
            </w:pPr>
            <w:r>
              <w:rPr/>
              <w:t> </w:t>
            </w:r>
          </w:p>
        </w:tc>
        <w:tc>
          <w:tcPr>
            <w:tcW w:w="208" w:type="dxa"/>
            <w:tcBorders>
              <w:bottom w:val="single" w:sz="12" w:space="0" w:color="000000"/>
            </w:tcBorders>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336</w:t>
            </w:r>
          </w:p>
        </w:tc>
        <w:tc>
          <w:tcPr>
            <w:tcW w:w="135" w:type="dxa"/>
            <w:tcBorders/>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90" w:type="dxa"/>
            <w:tcBorders/>
            <w:shd w:fill="CCEEFF" w:val="clear"/>
            <w:vAlign w:val="center"/>
          </w:tcPr>
          <w:p>
            <w:pPr>
              <w:pStyle w:val="TableContents"/>
              <w:bidi w:val="0"/>
              <w:spacing w:before="0" w:after="283"/>
              <w:jc w:val="left"/>
              <w:rPr/>
            </w:pPr>
            <w:r>
              <w:rPr/>
              <w:t> </w:t>
            </w:r>
          </w:p>
        </w:tc>
        <w:tc>
          <w:tcPr>
            <w:tcW w:w="20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51"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471</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 based in the U.S.</w:t>
      </w:r>
    </w:p>
    <w:p>
      <w:pPr>
        <w:pStyle w:val="TextBody"/>
        <w:bidi w:val="0"/>
        <w:spacing w:before="0" w:after="0"/>
        <w:ind w:left="0" w:right="0" w:hanging="0"/>
        <w:jc w:val="center"/>
        <w:rPr>
          <w:caps w:val="false"/>
          <w:smallCaps w:val="false"/>
        </w:rPr>
      </w:pPr>
      <w:r>
        <w:rPr>
          <w:caps w:val="false"/>
          <w:smallCaps w:val="false"/>
        </w:rPr>
        <w:t> </w:t>
      </w:r>
    </w:p>
    <w:tbl>
      <w:tblPr>
        <w:tblW w:w="4074" w:type="dxa"/>
        <w:jc w:val="left"/>
        <w:tblInd w:w="0" w:type="dxa"/>
        <w:tblLayout w:type="fixed"/>
        <w:tblCellMar>
          <w:top w:w="0" w:type="dxa"/>
          <w:left w:w="0" w:type="dxa"/>
          <w:bottom w:w="0" w:type="dxa"/>
          <w:right w:w="0" w:type="dxa"/>
        </w:tblCellMar>
      </w:tblPr>
      <w:tblGrid>
        <w:gridCol w:w="2690"/>
        <w:gridCol w:w="90"/>
        <w:gridCol w:w="274"/>
        <w:gridCol w:w="885"/>
        <w:gridCol w:w="135"/>
      </w:tblGrid>
      <w:tr>
        <w:trPr/>
        <w:tc>
          <w:tcPr>
            <w:tcW w:w="26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5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 of</w:t>
              <w:br/>
              <w:t>Employees</w:t>
            </w:r>
          </w:p>
        </w:tc>
        <w:tc>
          <w:tcPr>
            <w:tcW w:w="135" w:type="dxa"/>
            <w:tcBorders/>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Management</w:t>
            </w:r>
          </w:p>
        </w:tc>
        <w:tc>
          <w:tcPr>
            <w:tcW w:w="9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135" w:type="dxa"/>
            <w:tcBorders/>
            <w:shd w:fill="CCEEFF" w:val="clear"/>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Cooking and Baking</w:t>
            </w:r>
          </w:p>
        </w:tc>
        <w:tc>
          <w:tcPr>
            <w:tcW w:w="9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135" w:type="dxa"/>
            <w:tcBorders/>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Finance</w:t>
            </w:r>
          </w:p>
        </w:tc>
        <w:tc>
          <w:tcPr>
            <w:tcW w:w="9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135" w:type="dxa"/>
            <w:tcBorders/>
            <w:shd w:fill="CCEEFF" w:val="clear"/>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Logistics</w:t>
            </w:r>
          </w:p>
        </w:tc>
        <w:tc>
          <w:tcPr>
            <w:tcW w:w="9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w:t>
            </w:r>
          </w:p>
        </w:tc>
        <w:tc>
          <w:tcPr>
            <w:tcW w:w="135" w:type="dxa"/>
            <w:tcBorders/>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Administration</w:t>
            </w:r>
          </w:p>
        </w:tc>
        <w:tc>
          <w:tcPr>
            <w:tcW w:w="9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c>
          <w:tcPr>
            <w:tcW w:w="135" w:type="dxa"/>
            <w:tcBorders/>
            <w:shd w:fill="CCEEFF" w:val="clear"/>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Store Operation</w:t>
            </w:r>
          </w:p>
        </w:tc>
        <w:tc>
          <w:tcPr>
            <w:tcW w:w="90" w:type="dxa"/>
            <w:tcBorders/>
            <w:vAlign w:val="center"/>
          </w:tcPr>
          <w:p>
            <w:pPr>
              <w:pStyle w:val="TableContents"/>
              <w:bidi w:val="0"/>
              <w:spacing w:before="0" w:after="283"/>
              <w:jc w:val="left"/>
              <w:rPr/>
            </w:pPr>
            <w:r>
              <w:rPr/>
              <w:t> </w:t>
            </w:r>
          </w:p>
        </w:tc>
        <w:tc>
          <w:tcPr>
            <w:tcW w:w="274" w:type="dxa"/>
            <w:tcBorders>
              <w:bottom w:val="single" w:sz="12" w:space="0" w:color="000000"/>
            </w:tcBorders>
            <w:tcMar>
              <w:bottom w:w="28" w:type="dxa"/>
            </w:tcMar>
            <w:vAlign w:val="center"/>
          </w:tcPr>
          <w:p>
            <w:pPr>
              <w:pStyle w:val="TableContents"/>
              <w:bidi w:val="0"/>
              <w:spacing w:before="0" w:after="283"/>
              <w:jc w:val="left"/>
              <w:rPr/>
            </w:pPr>
            <w:r>
              <w:rPr/>
              <w:t> </w:t>
            </w:r>
          </w:p>
        </w:tc>
        <w:tc>
          <w:tcPr>
            <w:tcW w:w="88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w:t>
            </w:r>
          </w:p>
        </w:tc>
        <w:tc>
          <w:tcPr>
            <w:tcW w:w="135" w:type="dxa"/>
            <w:tcBorders/>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90" w:type="dxa"/>
            <w:tcBorders/>
            <w:shd w:fill="CCEEFF" w:val="clear"/>
            <w:vAlign w:val="center"/>
          </w:tcPr>
          <w:p>
            <w:pPr>
              <w:pStyle w:val="TableContents"/>
              <w:bidi w:val="0"/>
              <w:spacing w:before="0" w:after="283"/>
              <w:jc w:val="left"/>
              <w:rPr/>
            </w:pPr>
            <w:r>
              <w:rPr/>
              <w:t> </w:t>
            </w:r>
          </w:p>
        </w:tc>
        <w:tc>
          <w:tcPr>
            <w:tcW w:w="27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8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Employment Agreements, Non-competition, and Confidentiality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our PRC subsidiary and the VIEs enter into standard employment agreements with their officers, managers, and other employees, and our subsidiaries in the U.S. enter into at-will employment agreements with their employees. According to the non-competition and confidentiality clause in these agreements, the operating entities ask senior executives and key employees, especially those with the opportunity to deal with their trade secrets and other intellectual property, to enter into separate non-competition and confidentiality agreements with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non-competition and confidentiality agreements prohibit employees from engaging in any other employment during the period of their employment with the operating entities and from soliciting the operating entities’ customers on behalf of themselves or any third party. The agreements restrict employees from making any comments that could defame the operating entities’ reputation. The agreements further prohibit employees from disclosing any information and knowledge about the operating entities’ business, operation, development, and strategies, including trade secrets and their customers’ information, to any third party, as long as employees have acquired the information and knowledge during their employment term at the company. Employees of the PRC Stores whose employment agreements are not renewed are prohibited from working for competitors in two years after they leave the PRC Stores. Employees’ obligation to confidentially keep the PRC Stores’ trade secrets survives beyond the termination or expiration of their employment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Occupational Health and Safety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Stores and the U.S. Stores fulfill their legal responsibility to protect the health and safety of their employees by providing a safe workplace that meets the applicable labor and sanitation standards, controlling risks to health, and ensuring that their plants and machinery are safe and that work safety systems and guidelines are both established and adhered to. The PRC Stores and the U.S. Stores also make sure that dangerous articles and substances are transported, stored, and used safely, provide adequate welfare facilities, provide employees the information, instruction, training, and supervision necessary to preserve their health and safety, and consult with employees on health and safety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employees are currently represented by labor unions. In the year ended December 31, 2025, the operating entities did not hire any temporary employees. In general, the PRC Stores and the U.S. Stores consider their relationship with their employees to be good.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Seasonality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Bakery products sold by the PRC Stores and the U.S. Stores and eat-in services offered by the U.S. Stores have not experienced obvious seasonal fluctuations in their sales as these products have been commonly consumed on a daily basis by customers. Beverage products sold by the PRC Stores and the U.S. Stores have experienced in the past, and expect to continuously experience in the future, higher retail sales during summer as a result of higher customer demand. Seasonal products sold by the PRC Stores have experienced in the past, and expect to continuously experience in the future, seasonal fluctuations in their retail sales as a result of customers’ increased demand for these seasonal products as gifts and for person consumption during festival seasons. Historically, the PRC Stores generate almost all the retail sales of their seasonal products during the one or two months before Dragon Boat Festival and Mid-Autumn Festival, which respectively take place at the end of the second quarter and the beginning of the third quarter of a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sets forth a summary of the principal laws and regulations relevant to our business and operations in the PRC and the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PRC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Regulations on Food Production and Food Business Operation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Food Safety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Food Safety Law of the People’s Republic of China, or the “Food Safety Law,” was promulgated by the SCNPC on February 28, 2009, and amended on April 24, 2015, December 29, 2018, April 29, 2021 and September 12, 2025, which came into effect on December 1, 2025. The Food Safety Law is formulated for the purposes of ensuring food safety and safeguarding the physical health and life of members of the public. Persons engaging in food manufacturing and processing, circulation of food, and storage and transportation of food in the PRC shall comply with this law. Under the Food Safety Law, food manufacturers and food business operators shall be accountable for the safety of food consumers, comply with food safety standards, and satisfy the specific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Food Safety Law establishes a licensing system for food manufacturing and food business operations, which means persons engaging in food manufacturing, foodstuff sale, and food and beverage services shall obtain a permit. According to the Implementation Regulations for the Food Safety Law, which was promulgated by the State Council of the PRC on July 20, 2009, and amended in 2016, a food production permit shall be valid for three years. The Implementation Regulations for the Food Safety Law were amended in 2019, which stipulates that a food production permit shall be valid for five years starting from December 1, 2019.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Food Production Permit and Food Business Permit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Administrative Measures for Food Production Permitting, or the “Food Production Permitting Measures,” were promulgated by the Market Supervision and Management Department on December 23, 2019, which came into effect on March 1, 2020. Pursuant to the Food Production Permitting Measures, an enterprise shall obtain a food production permit prior to engaging in food production activities within the territory of the PRC. The principle of one permit per enterprise is applied to food production permitting, and the Market Supervision and Management Department implements classified permitting on food production, according to the degree of risk of food. When applying for the food production permit, food manufacturers should have places for raw material handling, places for processing, packaging, and storage of food, and manufacturing equipment or facilities, compatible with the category and quantity of the food under production, and a reasonable equipment layout and production process, and other conditions required by laws and regulations. Our PRC subsidiary Xinjiang United Family has obtained a food production permit that allows it to manufacture bakery products. The permit will expire on November 23, 2026, and Xinjiang United Family will file a renewal request 30 business days prior to the expiration date. In general, as long as a business entity operates legally and in good standing, its renewal request will be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Measures for the Administration of Food Trade Licensing and Registration, or the “Food Trade Licensing and Filing”, were promulgated by SAMR on June 15, 2023, and became effective on December 1, 2023. According to the Food Trade Licensing and Filing, whoever plans to engage in food sales and provide catering services within the PRC shall obtain the food business permits in accordance with the law. However, the food business permits are not required under any of the following circumstances: (i) sale of edible agricultural products; (ii) sale of prepackaged food only; (iii) sale of specific total nutrition formula food in the formula food for special medical purposes by medical institutions and drug retailers; (iv) sale of food produced by a food producer that has obtained a food production permit at its production and processing place or through the Internet; and (v) any other circumstances where the food business permits are not required in accordance with the applicable laws and regulations. Besides the above circumstances, the food enterprise that operates other food business items shall obtain the food business permit in accordance with the PRC law. In addition, the food enterprise who sells prepackaged food only shall file with the relevant market regulatory department.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(i) the five branch offices of Xinjiang United Family have obtained the food business permits, and (ii) except one UFG Entity which is applying for the renewal of their food business permits, all remaining UFG Entities have obtained the food business permits, which are valid currently, allowing them to retail bakery products and store-made beverages and juice products, although some of them did not have the food business permits at the time of their opening. Pursuant to the Food Safety Law, the failure of these entities to have the food business permit at the time of opening may result in the confiscation of their illegal income, foodstuffs from the illegal business operations, tools, equipment, and ingredients used in the illegal activities. Where the value of foodstuffs from the illegal operations is less than RMB10,000, a fine ranging from RMB50,000 to RMB100,000, shall be imposed; where the value of foodstuffs is RMB10,000 or more, a fine ranging from 10 to 20 times the value of the foodstuffs shall be imposed. Although the PRC Stores have not received any notice of warning or been subject to penalties or other penalties such as income confiscation from the relevant governmental authorities regarding conducting their business without the above-mentioned permits as of the date of this annual report, we cannot assure you that the PRC Stores will not be subject to any penalties in the future. The PRC Stores will file a renewal request 30 business days prior to the expiration date of those permits. In general, as long as a business entity operates legally and is in good standing, its renewal request will be approved, but we cannot assure you that the PRC Stores will be able to renew such permits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Employee Health Examination System and Health Record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Food Safety Law and the Implementation Regulations for the Food Safety Law, food manufacturers and food business operators are required to establish and implement an employee health examination system and a health record system. Persons suffering from diseases that may cause food safety issues as prescribed by the health administrative department of the State Council shall not engage in work in contact with ready-to-eat food. Personnel of food manufacturers and food business operators shall undergo annual health checks and may undertake duties only upon obtaining health certificates. The PRC Stores have established an employee health examination system and a health record system, and their employees have obtained the health certificates as required. Their employee health examination system and health record system are updated once a year and no employee is allowed to work in the PRC Stores or central factory without first obtaining a health certificate, which is valid for a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Procurement Check Record System and Food Inspection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Food Safety Law and the Implementation Regulations for the Food Safety Law, food manufacturers and food business operators shall examine the relevant licenses and eligibility certification documents of the suppliers when procuring food ingredients, food additives, food-related products, and food. If the relevant eligibility certification documents are unavailable, food ingredients, food additives, food-related products, and food shall be inspected in accordance with food safety standards and shall not be procured or used if they do not meet these standards. Food manufacturers and food business operators are required to establish a record system for inspection of procured food ingredients, food additives, food-related products, and food, and truthfully record the names, specifications, quantities, production date or batch number, shelf life and purchase date, names and contact information of suppliers of food ingredients, food additives, food-related product and food, and retain the relevant certificates. The inspection records for procured food ingredients, food additives, food-related products, and food shall be true and be retained for at least six months after the expiration of the shelf life of the product. If there is no shelf life, the records and certificates shall be kept for at least two years. Food manufacturers are also required to establish a record system for the inspection of food existing at its factory, check its inspection certificate and safety status, and record the information truthfully. The PRC Stores have established a record system and are currently in compliance with the relevant legal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Food Recall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food recall system has been established in the PRC in accordance with the Food Safety Law and the Implementation Regulations on the Food Safety Law. On March 11, 2015, CFDA promulgated the Administrative Measures for Food Recall, which came into effect on September 1, 2015 and was amended on October 23, 2020. The Administrative Measures for Food Recall provides for detailed rules on the food recall system. A food manufacturer shall, upon discovering that the food produced by itself does not comply with the food safety standards, immediately stop production, recall the food from the market, notify the relevant food business operators and consumers, and record information of the recall and notification. A food business operator shall, upon discovering that the food in its business operations does not comply with the food safety standards, immediately cease business operation, notify the relevant food distributors and consumers, and record information of cessation of business operation and notification. Where the food manufacturer deems that recall of the food is necessary, the food shall be recalled immediately. The food manufacturers and food business operators shall carry out innocuous treatment and destruction measures for recalled food to prevent the recalled food from being re-circulated to the market, and report the information of recall and treatment of the food to the local Market Supervision and Management Department at or above the county level.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Pollutant Discharge Permit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45 of the Environmental Protection Law of the People’s Republic of China, which became effective on January 1, 2015, stipulates that enterprises, institutions, and other producers and operators that implement pollution discharge permit management in China shall discharge pollutants in accordance with the requirements of the pollution discharge license; those who have not obtained the discharge license shall not discharge pollutants. Pursuant to the Regulations on the Administration of Pollutant Discharge Permits, which were adopted by the State Council on December 9, 2020, and became effective on March 1, 2021, pollutant discharging entities are subject to the classified management of pollutant discharge permits based on the factors such as the amount of pollutants produced and discharged, and the extent of impact on the environment. At the same time, according to the relevant regulations of the “the List of Classification Management of Emission Permit for Fixed Source of Pollution (2019 Edition),” key management, simplified management, and registration management of pollutant discharge permit have been implemented. Pollutant discharge units that implement registration management do not need to apply for a pollutant discharge permit, but should fill in the pollutant discharge registration form on the national pollutant discharge permit management information platform. Based on the situation of the central factory of the PRC Stores, as well as their production equipment and production process, at least a sewage registration is required. As of the date of this annual report, Xinjiang United Family has completed the sewage registration.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Article 63 of the Environmental Protection Law of the People’s Republic of China, if an enterprise, institution, or other producer or business operator, in violation of the provisions of the law, discharges pollutants without obtaining a pollutant discharge license, and is ordered to stop discharging pollutants but refuses to carry out the order, which does not constitute a crime, in addition to punishment in accordance with relevant laws and regulations, the Environmental Protection Departments of the People’s Governments at or above the county level or other relevant departments shall transfer the case to the Bureau of Public Security. The person in charge and other persons directly responsible shall be detained for not less than 10 days but not more than 15 days; if the circumstances are relatively minor, they shall be detained for not less than five days but not more than 10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Regulations on Product Quality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Manufacturers and sellers of defective products in the PRC may incur liability for losses and injuries caused by such products. In accordance with the Product Quality Law of the PRC, or the “Product Quality Law,” promulgated on February 22, 1993, and amended on July 8, 2000, August 27, 2009, and December 29, 2018, manufacturers and sellers are responsible for the product quality.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Product Quality Law, manufacturers and sellers shall establish a sound internal product quality control system. Adulteration of, or mixing of improper elements with products produced or sold, selling fake products as genuine products, or selling products of poor quality as high-quality products is prohibited. Substandard products shall not be sold as products that are up to standard. Product shall have no unreasonable danger to personal safety or the safety of property. Where there are national or industry standards for the protection of health, personal safety, and the safety of property, such standards shall be complied with. Manufacturers shall not produce products that the State has determined should be eliminated. Manufacturers shall not falsify the place of origin of products or falsify or imitate the name or address of another factory. Sellers shall adopt measures to maintain the quality of products sold. Sellers shall not sell any products that the State has determined should be eliminated and whose sale has ceased, or any expired products or deteriorated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Consumer Protection Law of the PRC, which was promulgated on October 31, 1993, and amended on October 25, 2013, and came into effect on March 15, 2014, has also provided protection for customers regarding food safety. Food business operators shall ensure the requisite quality, function, use, and shelf life of their goods under normal use, except where a consumer is aware of a defect before purchasing the goods, and the defect does not violate the mandatory provisions of the law. Food business operators demonstrating the quality of their goods or services through advertisements, product demonstrations, actual samples or any other methods shall ensure that the actual quality of their goods is consistent with the demonstrated quality.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Regulations on Product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Civil Code, which was promulgated by the National People’s Congress on May 28, 2020, and became effective on January 1, 2021, provides that where a product endangers life or property due to its defect, the manufacturers and the distributors shall bear the tort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Civil Code, in the event of product defects that have caused damage to others, the manufacturer shall bear tort liability and the infringed person may claim compensation against the manufacturer or the seller of the product. In such event if the defect is caused by the manufacturer, the seller who has paid compensation has the right to indemnification against the manufacturer; if the defect is caused by the fault of the seller, the manufacturer who has paid compensation has the right to indemnification against the seller. If a defect of a product endangers the personal or property safety of another person, the infringed person has the right to request the manufacturer or seller to bear tort liability, such as in forms of cessation of the infringement, removal of the nuisance, or elimination of the danger. Where a defect of a product is discovered after the product is put into circulation, the manufacturer or seller shall take remedial measures, such as stopping sales, providing warnings, or recalling the product, in a timely manner. The manufacturer or seller, who fails to take remedial measures in a timely manner or take ineffective measures so that the damage is aggravated, shall be liable also for the aggravated part of the damage. The manufacturer or seller shall bear the necessary expenses incurred by the infringed person for recalling such defective products. If a manufacturer or seller manufactures or sells a product knowing that the product is defective, or failing to take remedial measures accordingly, so that death or serious physical harm is caused to another person, the infringed person has the right to request for the corresponding punitive damages.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Regulations on Internet Advertising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Administrative Measures for Internet Advertising, which was promulgated by the SAMR on February 24, 2023, and came into effect on May 1, 2023, governs all advertisements published on the Internet, including but not limited to advertisements in the form of text, image, audio, video or other forms which are published through websites, web pages, internet applications and other internet media. Advertisers shall be responsible for the authenticity of the content of Internet advertisements. Internet advertisement operators and publishers shall establish, improve and implement systems of registration, examination and archives management in respect of Internet advertising business according to the following provisions: (i) verifying and registering the real identity, address, valid contact details and other information of advertisers, establishing advertisement archives and checking and updating them on a regular basis, and recording and keeping the electronic data relating to advertising activities; the relevant archives shall be kept for at least three years from the date of end of advertisement publishing; (ii) verifying relevant supporting documents and checking the content of advertisements, and for advertisements with inconsistent content or incomplete supporting documents, advertising agencies shall not provide design, production and agency services, and advertisement publishers shall not publish such advertisements; and (iii) employing advertisement reviewers who are familiar with advertising laws and regulations or establishing an advertisement review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Regulations relating to Information Security and Privacy Protection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Internet content in China is regulated and restricted from a state security standpoint. On December 28, 2000, the SCNPC enacted the Decisions on Maintaining Internet Security, later amended on August 27, 2009, which subject violators to criminal punishment in China for any effort to: (i) use the Internet to market fake and substandard products or carry out false publicity for any commodity or service; (ii) use the Internet for the purpose of damaging the commercial goodwill and product reputation of any other person; (iii) use the Internet for the purpose of infringing on the intellectual property of any person; (iv) use the Internet for the purpose of fabricating and spreading false information that affects the trading of securities and futures or otherwise jeopardizes the financial order; or (v) create any pornographic website or webpage on the Internet, provide links to pornographic websites, or disseminate pornographic books and magazines, movies, audio-visual products, or images. Pursuant to the Administrative Measures for the Security Protection of Computer Information Networks Linked to the Internet, which was promulgated by the Ministry of Public Security (the “MPS”) on December 16, 1997 and later amended and became effective on January 8, 2011, the Internet is prohibited to be used in ways which, among other things, would result in a leakage of state secrets or a spread of socially destabilizing content. On December 13, 2005, the MPS promulgated the Provisions on the Technical Measures for the Protection of the Security of the Internet, which require internet service providers to take proper measures including anti-virus, data back-up, and other related measures, to keep records of certain information about its users (including user registration information, log-in and log-out time, IP address, content, and time of posts by users) for at least 60 days, and to detect illegal information, stop transmission of such information, and keep relevant records. If an Internet information service provider violates these measures, the MPS and the local public security bureaus may recommend that the original certificate examination, approval, and issuing organizations revoke its operating license and shut down its websites. Pursuant to the Administrative Measures for the Graded Protection of Information Security promulgated by the MPS, the State Secrecy Bureau, the State Cipher Code Administration, and the Information Office of the State Council on June 22, 2007, the state shall, by formulating nationally effective administrative norms and technical standards for the graded protection of information security, organize citizens, legal persons, and other organizations to grade information systems and protect their security, and supervise and administer the graded protection work. The security protection grade of an information system may be classified into the five grades. To newly build an information system of Grade II or above, its operator or user shall, within 30 days after the information system is put into operation, go through the record-filing procedures at the local public security organ at the level of municipality divided into districts or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Regulations on Intellectual Property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Trademarks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Trademarks are protected by the PRC Trademark Law adopted on August 23, 1982, and subsequently amended on February 22, 1993, October 27, 2001, August 30, 2013, and April 23, 2019, as well as the Implementation Regulation of the PRC Trademark Law adopted by the State Council on August 3, 2002, and amended on April 29, 2014. The PRC Trademark Office under the SAMR handles trademark registrations and grants a term of 10 years to registered trademarks and another 10 years if requested upon expiration of the first or any renewed 10-year term. Trademark license agreements must be filed with the PRC Trademark Office for record. The PRC Trademark Law has adopted a “first-to-file” principle with respect to trademark registration. Where a trademark to be registered is identical or similar to another trademark which has already been registered or been subject to a preliminary examination and approval for use on the same kind of or similar goods or services, the application for registration of such trademark may be rejected. Any person applying for the registration of a trademark may not prejudice the existing right first obtained by others, nor may any person register in advance a trademark that has already been used by another party and has already gained a “sufficient degree of reputation” through such party’s use. After receiving an application, the PRC Trademark Office will make a public announcement if the relevant trademark passes the preliminary examination. During the three months after this public announcement, any person entitled to prior rights and any interested party may file an objection against the trademark. The PRC Trademark Office’s decisions on rejection, objection, or cancellation of an application may be appealed to the PRC Trademark Review and Adjudication Board, whose decision may be further appealed through judicial proceedings. If no objection is filed within three months after the public announcement or if the objection has been overruled, the PRC Trademark Office will approve the registration and issue a registration certificate, at which point the trademark is deemed to be registered and will be effective for a renewable 10-year period, unless otherwise revoked. For licensed use of a registered trademark, the licensor shall file record of the licensing with the PRC Trademark Office, and the licensing shall be published by the PRC Trademark Office. Failure of the licensing of a registered trademark shall not be contested against a good faith third party. As of the date of this annual report, Xinjiang United Family holds 36 registered trademarks in the PRC and enjoys the corresponding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Copyrights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Copyright Law of the PRC promulgated by the SCNPC on September 7, 1990, last amended on November 11, 2020, and came into effect on June 1, 2021, Chinese citizens, legal persons, or other entities own the copyright in their works whether published or not, including written works, oral works, music, comedy, arts of talking and singing, dance and acrobatics, work of art and architecture work, photographic works, cinematographic work and work created by the method similar to the film production method, engineering design drawing, product design drawing, map, sketch and other graphic works and model works, computer software, and other works specified by laws and administrative regulations. The rights a copyright owner has include but not limited to the following rights of the person and property rights: the right of publication, right of authorship, right of modification, right of integrity, right of reproduction, distribution right, rental right, right of network communication, translation right, and right of compilation.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Regulations on the Protection of Computer Software promulgated by the State Council on December 20, 2001 and last amended on January 30, 2013, Chinese citizens, legal persons, or other entities own the copyright, including the right of publication, right of authorship, right of modification, right of reproduction, distribution right, rental right, right of network communication, translation right, and other rights software copyright owners shall have in software developed by them, regardless of whether the software has been published. In accordance with the Measures for the Registration of Computer Software Copyright promulgated by the National Copyright Administration on April 6, 1992 and last amended on February 20, 2002, software copyrights, exclusive licensing contracts for software copyrights, and software copyright transfer contracts shall be registered, and the National Copyright Administration shall be the competent authority for the administration of software copyright registration and the Copyright Protection Center of China is designated as a software registration authority. The Copyright Protection Center of China shall grant a registration certification to a computer software copyright applicant who complies with relevant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Domain Name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Measures for the Administration of Internet Domain Names, which was promulgated by the Ministry of Industry and Information Technology (the “MIIT”) on August 24, 2017 and came into effect on November 1, 2017, and the Implementation Rules for National Top-level Domain Name Registration, which were promulgated by China Internet Network Information Center (the “CNNIC”) on June 18, 2019 and came into effect on the same day, domain name registrations are handled through domain name service agencies established under relevant regulations, and an applicant becomes a domain name holder upon successful registration, and domain name disputes shall be submitted to an organization authorized by CNNIC for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Notice from the Ministry of Industry and Information Technology on Regulating the Use of Domain Names in Internet Information Services, which was promulgated by the MIIT on November 27, 2017 and came into effect on January 1, 2018, Internet access service providers shall verify the identity of each Internet information service provider, and shall not provide services to any Internet information service provider which fails to provide real identity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Regulations on Patents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Patent Law of the PRC, or the “Patent Law,” promulgated by the SCNPC on March 12, 1984, most recently amended on October 17, 2020, and effective from June 1, 2021, and the Implementation Rules of the Patent Law of the PRC, promulgated by the State Council on June 15, 2001 and most recently amended on December 11, 2023, which came into effect on January 20, 2024, there are three types of patents in the PRC: invention patent, utility model patent, and design patent. The protection period is 20 years for invention patent, 10 years for utility model patent, and 15 years for design patent, commencing from their respective application dates. Any individual or entity that utilizes a patent or conducts any other activity in infringement of a patent without prior authorization of the patentee shall pay compensation to the patentee and is subject to a fine imposed by relevant administrative authorities and, if the infringement constitutes a crime, shall be held criminally liable. In the event that a patent is owned by two or more co-owners without an agreement regarding the distribution of revenue generated from the exploitation of any co-owner of the patent, such revenue shall be distributed among all the co-owners.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Existing patents can become narrowed, invalid, or unenforceable due to a variety of grounds, including lack of novelty, creativity, and deficiencies in patent application. In China, a patent must have novelty, creativity, and practical applicability. Under the Patent Law, novelty means that before a patent application is filed, no identical invention or utility model has been publicly disclosed in any publication in China or overseas or has been publicly used or made known to the public by any other means, whether in or outside of China, nor has any other person filed with the patent authority an application that describes an identical invention or utility model and is recorded in patent application documents or patent documents published after the filing date. Creativity means that, compared with existing technology, an invention has prominent substantial features and represents notable progress, and a utility model has substantial features and represents any progress. Practical applicability means an invention or utility model can be manufactured or used and may produce positive results. Patents in China are filed with the State Intellectual Property Office, or the “SIPO.” Normally, the SIPO publishes an application for an invention patent within 18 months after the filing date, which may be shortened at the request of applicant. The applicant must apply to the SIPO for a substantive examination within three years from the date of application.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Regulations on Company Establishment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establishment, operation, and management of companies in the PRC is governed by the PRC Company Law, or the “Company Law,” as promulgated by the SCNPC on December 29, 1993, effective on July 1, 1994, and subsequently amended in 1999, 2004, 2005, 2013, 2018 and 2023. On December 29, 2023, the Standing Committee of the National People’s Congress promulgated the amended PRC Company Law, or the Amended PRC Company Law, which came into effect on July 1, 2024, to supersede the existing PRC Company Law which was amended in October 2018. According to the Company Law, companies established in the PRC are either limited liability companies or joint stock limited liability companies. The Company Law applies to both domestic companies and foreign-invested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15, 2019, the National People’s Congress approved the Foreign Investment Law of the PRC, or the “Foreign Investment Law,” which came into effect on January 1, 2020, repealing simultaneously the Law of the PRC on Sino-foreign Equity Joint Ventures, the Law of the PRC on Wholly Foreign-owned Enterprises, and the Law of the PRC on Sino-foreign Cooperative Joint Ventures. The Foreign Investment Law adopts the management system of pre-establishment national treatment and negative list for foreign investment. Policies in support of enterprises shall apply equally to foreign-funded enterprises according to laws and regulations. Foreign investment enterprises shall be guaranteed that they could equally participate in the setting of standards, and the compulsory standards formulated by the State shall be equally applied. Fair competition for foreign investment enterprises to participate in government procurement activities shall be protected. The Foreign Investment Law also stipulates the protection on intellectual property rights and trade secrets. In addition, Regulations for the Implementation of the Foreign Investment Law of the PRC came into effect as of January 1, 2020.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on the Implementation of Foreign Investment Law and the Registration of Foreign-funded Enterprises was issued by the State Administration for Market Regulation on December 28, 2019. According to such notice, the State Administration for Market Regulation conducts business registration, and the applicant shall apply for the registration of foreign-funded enterprises through the enterprise registration system. The registration authority shall conduct formal examination on relevant application materials. Where a foreign investor or enterprise with foreign investment invests in a field other than those in the negative list, it shall register in accordance with the principle of consistency of domestic and foreign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Measures for Reporting Foreign Investment Information were adopted by MOFCOM on December 19, 2019, approved by the State Administration for Market Regulation, and became effective on January 1, 2020. According to such measures, when a foreign investor directly or indirectly conducts investment activities in China, the foreign investor or foreign-invested enterprise shall submit investment information to the competent department of commerce in accordance with the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Regulation on Foreign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activities in the PRC by foreign investors were principally governed by the Guidance Catalog of Industries for Foreign Investment, promulgated and as amended from time to time by MOFCOM and National Development and Reform Commission (“NDRC”), which was later divided into two legal documents, including the Catalog of Industries for Encouraged Foreign Investment, or the “Encouraged Catalog,” and the Special Administrative Measures for Access of Foreign Investment (Negative List), or the “Negative List.” The current Encouraged Catalog was promulgated by MOFCOM and NDRC on October 26, 2022 and became effective on January 1, 2023. The current Negative List was promulgated by MOFCOM and NDRC on September 6, 2024, and became effective on November 1, 2024. Industries listed in the Negative List are divided into two categories: restricted and prohibited. Industries not listed in the Negative List are generally constituted “permitted,” and are open to foreign investment unless specifically restricted by other PRC regulations. For restricted industries, some are limited to equity or contractual joint ventures, while in some cases Chinese partners are required to hold the majority interests in such joint ventures. In addition, restricted category projects are subject to higher-level government approvals. Foreign investors are not allowed to invest in industries in the prohibited category. Pursuant to the current Negative List, manufacturing and selling bakery products is an encouraged industry for foreign investment access.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Regulations on Foreign Exchange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General Administration of Foreign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Foreign Exchange Control Regulations of the PRC, which were promulgated by the State Council on January 29, 1996, came into effect on April 1, 1996, and were amended on January 14, 1997, and August 1, 2008 (which amendment came into effect on August 5, 2008), payments for transactions that take place within the PRC must be made in Renminbi. PRC companies or individuals may repatriate foreign exchange receipts received overseas or deposit overseas. Renminbi is freely convertible for current account items, including the distribution of dividends, interest payments, trade and service-related foreign exchange transactions, but not for capital account items, such as direct investments, loans, repatriation of investments and investments in securities outside of the PRC, unless prior approval is obtained from SAFE and prior registration with SAFE is made. Foreign exchange proceeds under the current accounts may be either retained or sold to a financial institution engaged in settlement and sale of foreign exchange. For foreign exchange proceeds under the capital accounts, approval from SAFE is generally required for the retention or sale of such proceeds to a financial institution engaged in settlement and sale of foreign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Foreign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Provisions on Foreign Exchange Control on Direct Investments in China by Foreign Investors, which were promulgated on May 10, 2013 and amended on October 10, 2018, by SAFE, upon establishment of a foreign investment enterprise pursuant to the law, registration formalities shall be completed with SAFE. In the event of subsequent changes in the capital of the foreign investment enterprise such as increase in capital, capital reduction, and equity transfer, registration change formalities shall be completed with SAFE.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Circular of SAFE on Further Improving and Adjusting Foreign Exchange Administration Policies for Direct Investment, or the “SAFE Circular No. 59,” promulgated by SAFE on November 19, 2012, and was further amended on May 4, 2015, as well as October 10, 2018 and December 30, 2019, approval is not required for opening a foreign exchange account and depositing foreign exchange into the account relating to the direct investments. SAFE Circular No. 59 also simplified foreign exchange-related registration required for the foreign investors to acquire the equity interests of Chinese companies and further improve the administration on foreign exchange settlement for foreign investment enterprises.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of the State Administration of Foreign Exchange on Reforming the Mode of Management of Settlement of Foreign Exchange Capital of Foreign-Funded Enterprises, or the “SAFE Circular No.19,” which was promulgated by SAFE on March 30, 2015, and became effective on June 1, 2015, and was further amended on December 30, 2019 and March 23, 2023, provides that a foreign investment enterprise may, according to its actual business needs, settle with a bank the portion of the foreign exchange capital in its capital account for which the relevant foreign exchange administration has confirmed monetary capital contribution rights and interests (or for which the bank has registered the injection of the monetary capital contribution into the account). Pursuant to the SAFE Circular No.19, for the time being, foreign investment enterprises are allowed to settle 100% of their foreign exchange capitals on a discretionary basis; a foreign-invested enterprise shall truthfully use its capital for its own operational purposes within the scope of business; where an ordinary foreign-invested enterprise makes domestic equity investment with the amount of foreign exchanges settled, the invested enterprise shall first go through domestic re-investment registration and open a corresponding account for foreign exchange settlement pending payment with the foreign exchange administration or the bank at the place where it is registered.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Overseas Investment and Financing and Round-Trip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SAFE Circular 37 issued by SAFE and effective on July 4, 2014, PRC residents are required to register with the local SAFE branch prior to the establishment or control of an offshore SPV, which is defined as offshore enterprises directly established or indirectly controlled by PRC residents for offshore equity financing of the enterprise assets or interests they hold in the PRC. An amendment to registration or subsequent filing with the local SAFE branch by such PRC resident is also required if there is any change in basic information of the offshore company or any material change with respect to the capital of the offshore company. At the same time, SAFE has issued the Operation Guidance for the Issues Concerning Foreign Exchange Administration over Round-trip Investment regarding the procedures for SAFE registration under SAFE Circular 37, which became effective on July 4, 2014, as an attachment of SAFE Circular 37, and provided operational guidance in detail on how to complete the required registration under SAFE Circular 37. Pursuant to the Circular on Further Simplifying and Improving the Foreign Currency Management Policy on Direct Investment, or the “SAFE Circular No. 13,” which was promulgated by SAFE and effective from June 1, 2015, the administrative approvals of foreign exchange registration of direct domestic investment and direct overseas investment are canceled and the procedure of foreign exchange-related registration are simplified. The investors shall register with banks for direct domestic investment and direct overseas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all of our beneficial shareholders who are PRC residents have completed registrations in accordance with SAFE Circular 37. See “Item 3. Key Information-D. Risk Factors-Risks Relating to Doing Business in the PRC-PRC regulations relating to offshore investment activities by PRC residents may subject our PRC resident beneficial owners or our PRC subsidiary to liability or penalties, limit our ability to inject capital into our PRC subsidiary, limit our PRC subsidiary’s ability to increase its registered capital or distribute profits to us, or may otherwise adversely affect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Dividend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Company Law, the Foreign Investment Law, and Implementation Regulations of Foreign Investment Law, wholly foreign-owned enterprises in the PRC may pay dividends only out of their accumulated after-tax profits, if any, determined in accordance with China accounting standards and regulations. According to the Foreign Investment Law and Implementation Regulations of Foreign Investment Law, foreign investors’ investment, profits, capital gains, assets disposal income, intellectual property license fees, compensation or indemnification obtained according to law, and income from liquidation, among other things, may be freely remitted in or out of China in RMB or foreign currency. In addition, under the Company Law, wholly foreign-owned enterprises in the PRC are required to allocate at least 10% of their respective accumulated profits each year, if any, to fund certain reserve funds until these reserves have reached 50% of the registered capital of the enterprises. Wholly foreign-owned enterprises may, at their discretion, allocate a portion of their after-tax profits based on China accounting standards to staff welfare and bonus funds. These reserves are not distributable as cash dividends. See “Item 3. Key Information-D. Risk Factors-Risks Relating to Doing Business in the PRC-Our PRC subsidiary is subject to restrictions on paying dividends or making other payments to us, which may have a material adverse effect on our ability to conduct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Regulations on Mergers &amp; Acquisitions and Overseas Listings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8, 2006, six PRC regulatory agencies, including the CSRC, MOFCOM, the State-owned Assets Supervision and Administration Commission, the SAT, the State Administration of Industry and Commerce and SAFE, adopted the M&amp;A Rules, which became effective on September 8, 2006, and were amended on June 22, 2009. Foreign investors shall comply with the M&amp;A Rules when they purchase equity interests of a domestic company or subscribe the increased capital of a domestic company, and thus changing the nature of the domestic company into a foreign-invested enterprise, when the foreign investors establish a foreign-invested enterprise in the PRC, purchase the assets of a domestic company and operate the assets, or when the foreign investors purchase the assets of a domestic company, establish a foreign-invested enterprise by injecting such assets, and operate the assets. As for merger and acquisition of a domestic company with a related party relationship by a domestic company, enterprise or natural person in the name of an overseas company legitimately incorporated or controlled by the domestic company, enterprise of natural person, such merger and acquisition shall be subject to examination and approval of MOFCOM. The parties involved shall not use domestic investment by foreign investment enterprises or other methods to circumvent the requirement of examination and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Manual of Guidance on Administration for Foreign Investment Access, which was issued and became effective on December 18, 2008 by MOFCOM, notwithstanding the fact that (i) the domestic shareholder is connected with the foreign investor or not, or (ii) the foreign investor is the existing shareholder or the new investor, the M&amp;A Rules shall not apply to the transfer of an equity interest in an incorporated foreign-invested enterprise from the domestic shareholder to the foreign investor.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2021, the General Office of the Central Committee of the Communist Party of China and the General Office of the State Council jointly issued the Opinions. The Opinions emphasized the need to strengthen the administration over illegal securities activities and the supervision on overseas listings by China-based companies. The Opinions proposed to take effective measures, such as promoting the construction of relevant regulatory systems, to deal with the risks and incidents facing China-based overseas-listed companies and the demand for cybersecurity and data privacy protection.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17, 2023, the CSRC promulgated the Trial Measures and five supporting guidelines, which came into effect on March 31, 2023. Pursuant to the Trial Measures, domestic companies that seek to offer or list securities overseas, both directly and indirectly, shall complete filing procedures with the CSRC pursuant to the requirements of the Trial Measures within three working days following its submission of initial public offerings or listing application. If a domestic company fails to complete required filing procedures or conceals any material fact or falsifies any major content in its filing documents, such domestic company may be subject to administrative penalties, such as an order to rectify, warnings, fines, and its controlling shareholders, actual controllers, the person directly in charge and other directly liable persons may also be subject to administrative penalties, such as warnings and fines.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Trial Measures establish a list outlining the circumstances where a PRC enterprise is prohibited from offering and listing securities overseas, and the CSRC has the authority to block offshore listings that: (i) are explicitly prohibited by laws; (ii) may endanger national security as determined by relevant competent departments under the State Council; (iii) involve criminal offenses that disrupting PRC economy such as corruption, bribery, embezzlement, or misappropriation of property by the issuer, the controlling shareholder, and/or actual controller in the recent three years; (iv) involve the issuer under investigations for suspicion of criminal offenses or major violations of laws and regulations; or (v) involve material ownership disputes over the shares held by the controlling shareholder or by other shareholders that are controlled by the controlling shareholder and/or actual controller. An issuer seeking direct or indirect overseas listing is also required to undergo national security review or obtain clearance from relevant authorities if necessary before making any application with overseas regulator or listing venue. Where an overseas securities regulator investigates and collects evidence relating to the overseas offering and listing of a PRC enterprise and related activities, and requests the CSRC for cooperation in accordance with the cross-border supervision and management cooperation mechanism, the CSRC may provide necessary assistance according to law and based on the principle of reciprocity.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CSRC Notice, the domestic companies that have already been listed overseas before the effective date of the Trial Measures (namely, March 31, 2023) shall be deemed as existing issuers. Existing issuers are not required to complete the filing procedures immediately, and they shall be required to file with the CSRC for any subsequent offerings. In the event that we undertake new offerings or fundraising activities in the future, we may be required to complete necessary filing procedures pursuant to the Trial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24, 2023, the CSRC, together with the MOF, National Administration of State Secrets Protection and National Archives Administration of China, revised the Provisions issued by the CSRC and National Administration of State Secrets Protection and National Archives Administration of China in 2009. The revised Provisions were issued under the title the “Provisions on Strengthening Confidentiality and Archives Administration of Overseas Securities Offering and Listing by Domestic Companies,” and came into effect on March 31, 2023 together with the Trial Measures. One of the major revisions to the revised Provisions is expanding their application to cover indirect overseas offering and listing, as is consistent with the Trial Measures. The revised Provisions require that, among other things, (a) a domestic company that plans to, either directly or indirectly through its overseas listed entity, publicly disclose or provide to relevant individuals or entities, including securities companies, securities service providers, and overseas regulators, any documents and materials that contain state secrets or working secrets of government agencies, shall first obtain approval from competent authorities according to law, and file with the secrecy administrative department at the same level; and (b) a domestic company that plans to, either directly or indirectly through its overseas listed entity, publicly disclose or provide to relevant individuals and entities, including securities companies, securities service providers, and overseas regulators, any other documents and materials that, if leaked, will be detrimental to national security or public interest, shall strictly fulfill relevant procedures stipulated by applicable national regulations. Any failure or perceived failure by our Company, our subsidiaries, or the VIEs to comply with the above confidentiality and archives administration requirements under the revised Provisions and other PRC laws and regulations may result in the relevant entities being held legally liable by competent authorities, and referred to the judicial organ to be investigated for criminal liability if suspected of committing a crime.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the Trial Measures, the revised Provisions and any related implementing rules to be enacted may subject us to additional compliance requirements in the future. See “Item 3. Key Information-D. Risk Factors-Risks Relating to Doing Business in the PRC-The Opinions, the Trial Measures, and the revised Provisions recently issued by the PRC authorities may subject us to additional compliance requirements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Regulations on 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Enterprise Income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EIT Law, which was promulgated by the SCNPC on March 16, 2007, and became effective on January 1, 2008, and then amended on February 24, 2017 as well as December 29, 2018, and the Implementation Rules for the Enterprise Income Tax Law of the PRC, or the Implementation Rules, which were promulgated by the State Council on December 6, 2007, became effective on January 1, 2008, and were amended on April 23, 2019 as well as December 6, 2024, which came into effect on January 20, 2025, enterprises are divided into resident enterprises and non-resident enterprises. Resident enterprises pay enterprise income tax on their incomes obtained in and outside the PRC at the rate of 25%. Non-resident enterprises setting up institutions in the PRC pay enterprise income tax on the incomes obtained by such institutions in and outside the PRC at the rate of 25%. Non-resident enterprises with no institutions in the PRC, and non-resident enterprises with income having no substantial connection with their institutions in the PRC, pay enterprise income tax on their income obtained in the PRC at a reduced rate of 10%. An enterprise established outside of the PRC with its “de facto management bodies” located within the PRC is considered a “resident enterprise,” meaning that it can be treated in a manner similar to a PRC domestic enterprise for enterprise income tax purposes. The Implementing Rules of the EIT Law define a “de facto management body” as a managing body that in practice exercises “substantial and overall management and control over the production and operations, personnel, accounting, and properties” of the enterprise. It is more likely than not that the Company and its offshore subsidiary would be treated as a non-resident enterprise for PRC tax purposes. Please see “Item 10. Additional Information-E. Taxation-People’s Republic of China Enterprise 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EIT Law, and according to the Notice on Further Expanding the Scope of Income Tax Preferential Policies for Small Low Profit Enterprises issued by MOF and the SAT on July 11, 2018, for the year ended December 31, 2018, once an enterprise meets certain requirements and is identified as a small-scale minimal profit enterprise, the portion of its taxable income not more than RMB1 million is subject to a reduced rate of 10%. According to the Announcement on Issues Related to the Implementation of Inclusive Income Tax Reduction and Exemption Policy for Small and Low Profit Enterprises issued by the SAT on January 18, 2019, from January 1, 2019 to December 31, 2021, the portion of its taxable income not more than RMB1 million is subject to a reduced rate of 5%, which rate is further reduced to 2.5% during the period from January 1, 2021 to December 31, 2022, and the portion above RMB1 million is subject to a reduced rate of 10%. According to the Announcement the Preferential Income Tax Policies for Small and Low Profit Enterprises and Individual Business Households issued by the Ministry of Finance and the SAT on March 26, 2023, effective from January 1, 2023, to December 31, 2024, for small low-profit enterprises, the portion of the annual taxable income that does not exceed RMB1 million will be reduced by 25% for the purpose of calculating the taxable income, and the enterprise income tax will be levied at a rate of 20%. For individual business households, the individual income tax on the portion of the annual taxable income that does not exceed RMB1 million will be collected at a rate that is half of the current preferential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Individual Income Tax of Individual Industrial and Commercial Households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UFG Entities are individually-owned businesses, which are not subject to the EIT Law. The Measures for Individual Income Tax Calculation of Individual Industrial and Commercial Households, or the “Measures,” was adopted by the SAT on December 19, 2014 and promulgated on December 27, 2014 and was further amended on June 15, 2018. According to Article 7 of the Measures, for the income from production and operation of individually-owned businesses, the amount of taxable income shall be the balance of the total income of each tax year after deducting costs, expenses, taxes, losses and other expenditures, and allowable compensation for losses in previous years, which is generally levied at a fixed-rate income tax at a certain percentage of a deemed TNI as assessed by the local tax authority. For the income tax rate of the UFG Entities, see the relevant information in “Item 5. Operating and Financial Review and Prospects-A. Operating Results-Comparison of Results of Operations for the Years Ended December 31, 2023, 2022, and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Value-Added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Value-Added Tax Law of the People’s Republic of China, the “VAT Law”, which were promulgated by the SCNPC on December 25, 2024, and took effect on January 1, 2026, and the Regulation on the Implementation of the Value-Added Tax Law of the People’s Republic of China, “the Implementation of VAT Law”, which were promulgated by the State Council on December 25, 2025, and became effective on January 1, 2026, entities and individuals that sell goods, services, intangible assets, or immovable property within the PRC, or import goods into the PRC, are taxpayers of value-added tax (VAT). The VAT rate is 13% for taxpayers selling goods, providing processing, repair and replacement services, leasing tangible movable property, or importing goods; 9% for taxpayers selling transportation, postal, basic telecommunications, construction, or immovable property leasing services, selling immovable property, transferring land use rights, or selling or importing specified goods; 6% for taxpayers selling services or intangible assets, except as otherwise provided; and the zero rate applies to taxpayers exporting goods, as well as to cross-border provision of services or intangible assets within the scope prescribed by the State Council by entities and individuals within the PRC.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April 2019, Xinjiang United Family and its branch offices were paying VAT at the rate of 16% for manufacturing and selling bakery products. Currently, Xinjiang United Family and its branch offices are paying VAT at the rate of 13% for manufacturing and selling bakery products. Three of the UFG Entities are currently paying VAT at the rate of 1% and the rest of the UFG Entities are exempted from paying VAT. If customers need to obtain a special VAT invoice, the UFG Entities that are exempted from paying VAT would apply to the local tax authority to issue the special VAT invoice on their behalf, with the tax authority levying VAT at a rate of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Additional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September 1, 2021, the Provisional Regulations of the People’s Republic of China on Urban Maintenance and Construction Tax, or the “Provisional Regulations,” promulgated by the State Council on February 8, 1985 and revised on January 8, 2011 governs the payment of urban maintenance and construction tax. According to the Provisional Regulations, all units and individuals paying consumption tax, VAT, and business tax are taxpayers of urban maintenance and construction tax and shall pay urban maintenance and construction tax in accordance with the provisions of these regulations. The Standing Committee of the National People’s Congress passed the Tax Law of the People’s Republic of China on Urban Maintenance and Construction on August 11, 2020, which came into effect on September 1, 2021. According to this law, the urban maintenance and construction tax is based on VAT and consumption tax actually paid by taxpayers. Therefore, if VAT is exempted, urban construction tax will also be exempted.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Interim Provisions on Levying Educational Surcharges, or the “Interim Provisions,” was issued by the State Council on April 28, 1986 and revised on June 7, 1990, August 20, 2005, and January 8, 2011. According to the Interim Provisions, the educational surcharges shall be calculated and levied on the basis of the actual VAT, business tax, and consumption tax paid by various units and individuals. The education surcharges rate is 3%, which shall be paid at the same time as the VAT, business tax, and consumption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on Expanding the Exemption Scope of Relevant Government Funds, or “The Notice,” was issued by the MOF and the SAT on January 29, 2016 and implemented from February 1, 2016. According to The Notice, with the approval of the State Council, the scope of exemption from education surcharges, local education surcharges, and water conservancy construction funds shall be expanded from the payers whose monthly sales volume or turnover does not exceed RMB30,000 (quarterly sales or turnover paid on a quarterly basis shall not exceed RMB90,000) to RMB100,000 (quarterly sales or turnover paid on a quarterly basis shall not exceed RMB300,000).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Xinjiang United Family and its branch offices are paying urban maintenance and construction tax at the rate of 7%, educational surcharges at the rate of 3%, and local education surcharges at 2%. Three of the UFG Entities are paying urban maintenance and construction tax at the rate of 7%, educational surcharges at the rate of 3%, and local education surcharges at 2%. All the UFG Entities are exempted from paying such additional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Dividend Withholding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EIT Law and the Implementation Rules provide that since January 1, 2008, an income tax rate of 10% will normally be applicable to dividends declared to non-PRC resident investors which do not have an establishment or place of business in the PRC, or which have such establishment or place of business but the relevant income is not effectively connected with the establishment or place of business, to the extent such dividends are derived from sources within the PRC.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Double Tax Avoidance Arrangement and other applicable PRC laws, if a Hong Kong resident enterprise is determined by the competent PRC tax authority to have satisfied the relevant conditions and requirements under such Double Tax Avoidance Arrangement and other applicable laws, the 10% withholding tax on the dividends the Hong Kong resident enterprise receives from a PRC resident enterprise may be reduced to 5%. However, based on the SAT Circular 81 issued on February 20, 2009 by the SAT, if the relevant PRC tax authorities determine, in their discretion, that a company benefits from such reduced income tax rate due to a structure or arrangement that is primarily tax-driven, such PRC tax authorities may adjust the preferential tax treatment. According to the Circular on Several Questions regarding the “Beneficial Owner” in Tax Treaties, which was issued on February 3, 2018, by the SAT and took effect on April 1, 2018, when determining the applicant’s status of the “beneficial owner” regarding tax treatments in connection with dividends, interests, or royalties in the tax treaties, several factors, including without limitation, whether the applicant is obligated to pay more than 50% of his or her income in 12 months to residents in third country or region, whether the business operated by the applicant constitutes the actual business activities, and whether the counterparty country or region to the tax treaties does not levy any tax or grant tax exemption on relevant incomes or levy tax at an extremely low rate, will be taken into account, and it will be analyzed according to the actual circumstances of the specific cases. This circular further provides that applicants who intend to prove his or her status of the “beneficial owner” shall submit the relevant documents to the relevant tax bureau according to the Announcement on Issuing the Measures for the Administration of Non-Resident Taxpayers’ Enjoyment of the Treatment under Tax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Regulations on Employment and Social Welfare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Labor Law of the PRC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Labor Law of the PRC, or the “Labor Law,” was promulgated on July 5, 1994, and most recently amended on December 29, 2018. The Labor Law stipulates the provisions on the establishment and annulment of employment relationship, essential contents of employment contracts, working hours, remuneration, labor safety and hygiene, social insurance and other welfare, and liabilities for violating the Labor Law. The Labor Contract Law, which was implemented on January 1, 2008, and amended on December 28, 2012, is primarily aimed at regulating the rights and obligations of employers and employees, including the establishment, performance, and termination of labor contracts. Pursuant to the Labor Contract Law, labor contracts shall be in writing if labor relationships are to be or have been established between employers and the employees. Employers are prohibited from forcing employees to work above certain time limit and employers shall pay employees for overtime work in accordance with national regulations. In addition, employee wages shall be no lower than local standards on minimum wages and shall be paid to employees timely. Xinjiang United Family and its branch offices and the UFG Entities have entered into written employment contracts with all employees and performed its obligations required under the relevant PRC laws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Social Insurance and Housing Fund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under the Regulation of Insurance for Labor Injury implemented on January 1, 2004, and amended in 2010, the Provisional Measures for Maternity Insurance of Employees of Corporations implemented on January 1, 1995, the Decisions on the Establishment of a Unified Program for Pension Insurance of the State Council issued on July 16, 1997, the Decisions on the Establishment of the Medical Insurance Program for Urban Workers of the State Council promulgated on December 14, 1998, the Unemployment Insurance Measures promulgated on January 22, 1999, the Interim Regulations Concerning the Collection and Payment of Social Insurance Premiums implemented on January 22, 1999, and the Social Insurance Law of the PRC implemented on July 1, 2011, employers are required to provide their employees in the PRC with welfare benefits covering pension insurance, unemployment insurance, maternity insurance, labor injury insurance, and medical insurance. These payments are made to local administrative authorities and any employer that fails to contribute may be fined and ordered to make up within a prescribed time limit. Xinjiang United Family has not deposited the social insurance fees in full for all the employees in compliance with the relevant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Regulations on the Management of Housing Fund, which were promulgated by the State Council in April 3, 1999 and amended in March 24, 2002 and March 24, 2019, employers must register at the designated administrative centers and open bank accounts for depositing employees’ housing funds. Employer and employee are also required to pay and deposit housing funds, with an amount no less than 5% of the monthly average salary of the employee in the preceding year in full and on time. Xinjiang United Family has not yet paid housing funds for all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3. Key Information-D. Risk Factors-Risks Relating to Doing Business in the PRC-Our PRC subsidiary and the VIEs have not made adequate social insurance and housing fund contributions for all employees as required by PRC regulations, which may subject us to penalties.”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Government Regulations on Food Production and Store Operation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Stores are subject to extensive and varied federal, state, and local government regulations, including regulations relating, among others, to public and occupational health and safety, healthcare, environment, sanitation, and fire prevention. The U.S. Stores operate in accordance with standards and procedures designed to comply with applicable codes and regulations. However, an inability to obtain or retain health department or other licenses would adversely affect the operations of the U.S. Stores. Although the U.S. Stores have not experienced, and do not anticipate, any significant difficulties, delays, or failures in obtaining required licenses, permits, or approvals as of the date of this annual report, any such problem could delay or prevent the opening of, or adversely impact the viability of, a particular store or group of stores. Additionally, difficulties, delays, or failures to retain or renew licenses, permits, or approvals, or increased compliance costs due to changed regulations, could adversely affect operations at the U.S. Stores.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order to develop and construct additional stores, the U.S. Stores must comply with applicable zoning, land use, and environmental regulations. Federal and state environmental regulations have not had a material effect on our operations to date, but more stringent and varied requirements of local governmental bodies with respect to zoning, land use, and environmental factors could delay or even prevent construction and increase development costs for new stores. The U.S. Stores are also required to comply with the accessibility standards mandated by the U.S. Americans with Disabilities Act, which generally prohibits discrimination in accommodation or employment based on disability. The U.S. Stores may in the future have to modify stores, for example, by adding access ramps or redesigning certain architectural fixtures, to provide service to or make reasonable accommodations for disabled persons. While these expenses could be material, the current expectation is that any such actions will not require the U.S. Stores to expend substantial 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portion of the sales in the U.S. Stores is attributable to the sale of alcoholic beverages. Alcoholic beverage control regulations require the U.S. Stores to apply to the New York State Liquor Authority for a license that must be renewed annually and may be revoked or suspended for cause at any time. Alcoholic beverage control regulations relate to numerous aspects of daily operations of the U.S. Stores, including minimum age of patrons and employees, hours of operation, advertising, trade practices, wholesale purchasing, other relationships with alcohol manufacturers, wholesalers and distributors, inventory control and handling, storage, and dispensing of alcoholic beverages. The U.S. Stores are also subject in certain states to “dram shop” statutes, which generally provide a person injured by an intoxicated person the right to recover damages from an establishment that wrongfully served alcoholic beverages to the intoxicated person. As of the date of this annual report, the U.S. Stores carry liquor liability coverage as part of their existing comprehensive general liability insurance. Currently, the U.S. Stores hold liquor licenses.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U.S. Stores are subject to the U.S. Fair Labor Standards Act, the U.S. Immigration Reform and Control Act of 1986, the Occupational Safety and Health Act and various other federal and state laws governing similar matters including minimum wages, overtime, workplace safety, and other working conditions. Significant numbers of the food service and preparation personnel employed by the U.S. Stores are paid at rates related to the applicable minimum wage, and further increases in the minimum wage or other changes in these laws could increase its labor costs. The ability of the U.S. Stores to respond to minimum wage increases by increasing menu prices will depend on the responses of their competitors and guests. The suppliers of the U.S. Stores also may be affected by higher minimum wage and benefit standards, which could result in higher costs of goods and services supplied by the U.S. Stores. The U.S. Stores may also be subject to lawsuits from their employees, the U.S. Equal Employment Opportunity Commission, or others alleging violations of federal and state laws regarding workplace and employment matters, discrimination, and similar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has been increased regulation of certain food establishments in the U.S., and the U.S. Stores may have to expend additional time and resources to comply with new food safety requirements either required by current or future federal food safety regulation or legislation. Additionally, the suppliers of the U.S. Stores may initiate or otherwise be subject to food recalls that may impact the availability of certain products, result in adverse publicity or require the U.S. Stores to take actions that could be costly for them or otherwise harm their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Environmental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Stores are subject to federal, state, and local environment laws and regulations concerning waste disposal, pollution, protection of the environment, and the presence, discharge, storage, handing, release, and disposal of, or exposure to, hazardous or toxic substances. These environmental laws can provide for significant fines and penalties for non-compliance and liabilities for remediation, sometimes without regard to whether the owner or operator of the property knew of, or was responsible for, the release or presence of the hazardous or toxic substances. Third parties may also make claims against owners or operators of properties for personal injuries and property damage associated with releases of, or actual or alleged exposure to, such substances. As of the date of this annual report, the U.S. Stores are not aware of any environmental laws that will materially affect their earnings or competitive position, or result in material capital expenditures relating to the U.S. Stores. However, we cannot predict what environmental laws will be enacted in the future, how existing or future environmental laws will be administered, interpreted, or enforced, or the amount of future expenditures that the U.S. Stores may need to make to comply with, or to satisfy claims relating to, environmental laws. It is possible that the U.S. Stores will become subject to environmental liabilities at their properties, and any such liabilities could materially affect their business, financial condition, or results of operation.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Stores are also subject to laws and regulations relating to advertising, information security, privacy, cashless payments, online payments, gift cards and consumer credit, protection and fraud, and food delivery, and any failure or perceived failure to comply with these laws could harm their reputation or lead to litigation, which could adversely affect their business, financial condition,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U.S. Stores are subject to import laws and tariffs which could impact their ability to source and secure food products, other suppliers, and equipment necessary to their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Organizational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3. Key Information-Our Corporate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Property, Plants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“-B. Business Overview-Properties.”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Item 4A. UNRESOLVED STAFF COMMENTS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Item 5. OPERATING AND FINANCIAL REVIEW AND PROSPECTS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of our financial condition and results of operations is based upon and should be read in conjunction with our consolidated financial statements and their related notes included in this annual report. This report contains forward-looking statements. In evaluating our business, you should carefully consider the information provided under the caption “Item 3. Key Information—D. Risk Factors” in this annual report. We caution you that our businesses and financial performance are subject to substantial risks and uncertainties.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financial performance indicators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consider a variety of financial and operating measures in assessing the performance of our business. The key financial performance measures we use are revenue, comparable store sales, gross profit and gross margin, selling, general, and administrative expenses (“SG&amp;A expenses”), and operating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is derived primarily from sales of bakery and other products under the operating entities’ “George●Chanson,” “Patisserie Chanson,” and “Chanson” brand names. As of December 31, 2025, the operating entities managed and operated 63 stores in the PRC and three stores in the U.S. Our revenue is periodically influenced by the efficiency of sales promotions and the introduction and discontinuance of sales and promotion incentives. Growth of our revenue is primarily driven by expansion of the operating entities’ store base in existing and new markets as well as comparable store sales growth, described in “—Comparable Store Sales.” Revenue is impacted by competition, current economic conditions, pricing, inflation, product mix and availability, promotion, and spending habits of the operating entities’ customers. The product offerings of the PRC Stores and the U.S. Stores across diverse product categories support growth in revenue by attracting new customers and encouraging repeat visits from their existing customers.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Comparable Store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Comparable store sales measure the performance of a store during the current reporting period against the performance of the same store in the corresponding period of the previous year. Comparable store sales are important points of analysis for the operating entities, as comparable store sales can be helpful to them in making future decisions regarding existing stores and new locations. The operating entities often drill down into comparable store sales figures to determine the exact cause of changes in revenue. The operating entities also use comparable store sales to evaluate current and likely future performance and as a measure of revenue growth to evaluate how established stores have performed over time compared to new stores.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simplicity, our comparable store sales consist of revenue from the operating entities’ stores only after they have had two full years of operations, which is when we believe comparability is achieved. Our comparable store definition includes stores that have been remodeled, expanded, or relocated in their existing location or respective geographic areas, but excludes stores that have been closed for an extended period or are planned to be closed or disposed of. Comparable store sales figures are presented as a percentage that indicates the relative amount of revenue increase or decrease, excluding the impact of foreign currency translation.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Opening new stores is a primary component of our growth strategy and, as the operating entities continue to execute on their growth strategy, we expect a significant portion of their revenue growth will be attributable to revenue from new stores. Accordingly, comparable store sales are one of the measures the operating entities use to assess the success of their growth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variety of factors affect our comparable store sales, including, among others, consumer trends, competition, current economic conditions, pricing, inflation, changes in the operating entities’ product mix, and the success of their marketing programs. During the year ended December 31, 2025, the comparable store sales in China (excluding the impact of foreign currency translation) decreased by 17.2%. The post-COVID-19 economy in China has recovered at a slower pace than expected, and the spending behavior of consumers have been affected by various factors such as the downward economic pressure and weak consumer confidence. In addition, with the growing prevalence of online consumption, consumers have a wider range of choices and can conveniently purchase bakery products from online brands, which has intensified market competition. As a result, the comparable store sales in China decreased during the year ended December 31, 2025 as compared to last year. During the year ended December 31, 2025, the comparable store sales in the U.S. decreased by 29.0%, mainly due to the suspension of bakery products operations at Chanson 23rd Street, as discussed in “—Revenue” section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 and Gross Margin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is the difference between revenue and cost of revenue. Our cost of revenue consists of labor costs, costs of ingredients used to prepare the operating entities’ bakery products, inventory write-off due to discarded bakery products, packaging costs, freight charges, utility costs, rent expenses of manufacturing space, depreciation of production equipment, and other overhead costs. Ingredients costs account for the largest portion of our cost of revenue. Supplies and prices of the operating entities’ various ingredients can be affected by a variety of factors, such as weather, seasonal fluctuations, demand, political environment, and economic conditions. An increase in the price of any ingredients used in the operating entities’ bakery products could result in an increase in costs from their suppliers, and the operating entities may not be able to increase prices to cover increased costs, which would have an adverse effect on their operating results and profitability. In order to negotiate more favorable prices on ingredients, the operating entities have been and will continue to be directly involved in sourcing ingredients from qualified suppliers and try to lock in ingredient prices for typically six to twelve months through non-cancelable purchase commitments, when they expect the price to increase. Over the past years, the operating entities have invested significant time and energy to achieve cost reduction and productivity improvement in their supply chain. The operating entities have focused on reducing ingredient and packaging costs through increased volume buying, direct purchasing, and price negotiations, as well as strengthening inventory management from raw materials to finished goods to reduce the spoilage and wastage. On the other hand, labor is a primary component in the cost of operating the operating entities’ business. Increased labor costs due to competition, increased minimum wage or employee benefits costs, or otherwise, would adversely impact the operating entities’ operating expenses. In addition, the operating entities’ success depends on their ability to attract, motivate, and retain qualified employees, including store managers and staff, to keep pace with their growth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 is gross profit divided by revenue. Gross margin is a measure used by management to indicate whether the operating entities are selling their products at an appropriate gross profit. Our gross margin is impacted by the operating entities’ product mix and availability, as some products provide higher gross margins, and by their merchandise costs, which may vary. Gross margin is also impacted by prices of the operating entities’ products. The operating entities typically evaluate the profitability of their products annually or semi-annually. The operating entities consider many factors such as cost of revenue fluctuations and competitive pricing strategies. The operating entities have historically been able to replace less profitable products with similar new products, and refine their product formulas to enhance existing products with higher prices to cover higher ingredient costs. In addition, the operating entities have a dedicated and highly-experienced product development team that constantly creates brand new products that reflect market trends and are attractive to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SG&amp;A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SG&amp;A expenses are comprised of both store-related expenses and corporate expenses. Store-related expenses include payroll and employee benefit expenses and sales commissions paid to sales personnel, store rent, occupancy and maintenance costs, the cost of opening new stores, and marketing and advertising expenses. Corporate expenses include payroll and benefits for corporate and field support, legal, professional, and other consulting fees, travel expenses, and other facility related costs, such as rent and depreciation.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SG&amp;A expenses generally increase as the operating entities grow their store base and invest in corporate infrastructure. The operating entities have made significant investments in talent retention and storefront upgrades over the past years which have resulted in higher SG&amp;A expenses. Our SG&amp;A expenses are expected to continue increasing in the future as the operating entities invest to open new stores, launch new products, increase brand awareness, attract new customers, and increase their market penetration. To support their growth, the operating entities will continue to increase headcount, particularly in the sales and marketing departments. This increase in headcount will drive higher payroll and employee-related expenses. Our operating entities also continue to invest in product innovation and promote sales growth. We expect our SG&amp;A expenses to continue to increase in absolute dollars as we incur increased costs related to the growth of our business and our operation.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 is the difference between gross profit and SG&amp;A expenses. Operating income excludes interest income (expenses), other income, interest income from long term debt investments, and income tax expenses. We use operating income as an indicator of the productivity of our business and our ability to manage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Results of Operations for the Years Ended December 31, 2025, 2024 and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results of our operations during the years ended December 31, 2025, 2024 and 2023, respectively, and provides information regarding the dollar and percentage increase or decrease during such years.</w:t>
      </w:r>
    </w:p>
    <w:p>
      <w:pPr>
        <w:pStyle w:val="TextBody"/>
        <w:bidi w:val="0"/>
        <w:spacing w:before="0" w:after="0"/>
        <w:ind w:left="0" w:right="0" w:hanging="0"/>
        <w:jc w:val="both"/>
        <w:rPr>
          <w:caps w:val="false"/>
          <w:smallCaps w:val="false"/>
        </w:rPr>
      </w:pPr>
      <w:r>
        <w:rPr>
          <w:caps w:val="false"/>
          <w:smallCaps w:val="false"/>
        </w:rPr>
        <w:t> </w:t>
      </w:r>
    </w:p>
    <w:tbl>
      <w:tblPr>
        <w:tblW w:w="9500" w:type="dxa"/>
        <w:jc w:val="left"/>
        <w:tblInd w:w="0" w:type="dxa"/>
        <w:tblLayout w:type="fixed"/>
        <w:tblCellMar>
          <w:top w:w="0" w:type="dxa"/>
          <w:left w:w="0" w:type="dxa"/>
          <w:bottom w:w="0" w:type="dxa"/>
          <w:right w:w="0" w:type="dxa"/>
        </w:tblCellMar>
      </w:tblPr>
      <w:tblGrid>
        <w:gridCol w:w="4910"/>
        <w:gridCol w:w="90"/>
        <w:gridCol w:w="170"/>
        <w:gridCol w:w="1130"/>
        <w:gridCol w:w="125"/>
        <w:gridCol w:w="90"/>
        <w:gridCol w:w="170"/>
        <w:gridCol w:w="1130"/>
        <w:gridCol w:w="125"/>
        <w:gridCol w:w="90"/>
        <w:gridCol w:w="170"/>
        <w:gridCol w:w="1130"/>
        <w:gridCol w:w="170"/>
      </w:tblGrid>
      <w:tr>
        <w:trPr/>
        <w:tc>
          <w:tcPr>
            <w:tcW w:w="49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4330"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years ended December 31,</w:t>
            </w:r>
          </w:p>
        </w:tc>
        <w:tc>
          <w:tcPr>
            <w:tcW w:w="170" w:type="dxa"/>
            <w:tcBorders/>
            <w:vAlign w:val="center"/>
          </w:tcPr>
          <w:p>
            <w:pPr>
              <w:pStyle w:val="TableContents"/>
              <w:bidi w:val="0"/>
              <w:spacing w:before="0" w:after="283"/>
              <w:jc w:val="center"/>
              <w:rPr/>
            </w:pPr>
            <w:r>
              <w:rPr/>
              <w:t> </w:t>
            </w:r>
          </w:p>
        </w:tc>
      </w:tr>
      <w:tr>
        <w:trPr/>
        <w:tc>
          <w:tcPr>
            <w:tcW w:w="49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170" w:type="dxa"/>
            <w:tcBorders/>
            <w:vAlign w:val="center"/>
          </w:tcPr>
          <w:p>
            <w:pPr>
              <w:pStyle w:val="TableContents"/>
              <w:bidi w:val="0"/>
              <w:spacing w:before="0" w:after="283"/>
              <w:jc w:val="center"/>
              <w:rPr/>
            </w:pPr>
            <w:r>
              <w:rPr/>
              <w:t> </w:t>
            </w:r>
          </w:p>
        </w:tc>
      </w:tr>
      <w:tr>
        <w:trPr/>
        <w:tc>
          <w:tcPr>
            <w:tcW w:w="491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Revenue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18,268,894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18,227,537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17,252,662</w:t>
            </w:r>
          </w:p>
        </w:tc>
        <w:tc>
          <w:tcPr>
            <w:tcW w:w="170" w:type="dxa"/>
            <w:tcBorders/>
            <w:shd w:fill="CCEEFF" w:val="clear"/>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Cost of revenue</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10,050,891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11,033,219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9,105,337</w:t>
            </w:r>
          </w:p>
        </w:tc>
        <w:tc>
          <w:tcPr>
            <w:tcW w:w="170" w:type="dxa"/>
            <w:tcBorders/>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Gross profit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8,218,003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7,194,318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8,147,325</w:t>
            </w:r>
          </w:p>
        </w:tc>
        <w:tc>
          <w:tcPr>
            <w:tcW w:w="170" w:type="dxa"/>
            <w:tcBorders/>
            <w:shd w:fill="CCEEFF" w:val="clear"/>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eastAsia="Times New Roman;Times;Serif"/>
                <w:sz w:val="20"/>
              </w:rPr>
            </w:pPr>
            <w:r>
              <w:rPr>
                <w:rFonts w:eastAsia="Times New Roman;Times;Serif"/>
                <w:sz w:val="20"/>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eastAsia="Times New Roman;Times;Serif"/>
                <w:sz w:val="20"/>
              </w:rPr>
            </w:pPr>
            <w:r>
              <w:rPr>
                <w:rFonts w:eastAsia="Times New Roman;Times;Serif"/>
                <w:sz w:val="20"/>
              </w:rPr>
              <w:t>　</w:t>
            </w:r>
          </w:p>
        </w:tc>
        <w:tc>
          <w:tcPr>
            <w:tcW w:w="170" w:type="dxa"/>
            <w:tcBorders/>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OPERATING EXPENSES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eastAsia="Times New Roman;Times;Serif"/>
                <w:b/>
                <w:sz w:val="20"/>
              </w:rPr>
            </w:pPr>
            <w:r>
              <w:rPr>
                <w:rFonts w:eastAsia="Times New Roman;Times;Serif"/>
                <w:b/>
                <w:sz w:val="20"/>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eastAsia="Times New Roman;Times;Serif"/>
                <w:b/>
                <w:sz w:val="20"/>
              </w:rPr>
            </w:pPr>
            <w:r>
              <w:rPr>
                <w:rFonts w:eastAsia="Times New Roman;Times;Serif"/>
                <w:b/>
                <w:sz w:val="20"/>
              </w:rPr>
              <w:t>　</w:t>
            </w:r>
          </w:p>
        </w:tc>
        <w:tc>
          <w:tcPr>
            <w:tcW w:w="170" w:type="dxa"/>
            <w:tcBorders/>
            <w:shd w:fill="CCEEFF" w:val="clear"/>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Selling expenses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6,261,580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4,757,279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4,882,958</w:t>
            </w:r>
          </w:p>
        </w:tc>
        <w:tc>
          <w:tcPr>
            <w:tcW w:w="170" w:type="dxa"/>
            <w:tcBorders/>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General and administrative expenses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3,843,548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2,966,659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3,874,868</w:t>
            </w:r>
          </w:p>
        </w:tc>
        <w:tc>
          <w:tcPr>
            <w:tcW w:w="170" w:type="dxa"/>
            <w:tcBorders/>
            <w:shd w:fill="CCEEFF" w:val="clear"/>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operating expenses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10,105,128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7,723,938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8,757,826</w:t>
            </w:r>
          </w:p>
        </w:tc>
        <w:tc>
          <w:tcPr>
            <w:tcW w:w="170" w:type="dxa"/>
            <w:tcBorders/>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eastAsia="Times New Roman;Times;Serif"/>
                <w:sz w:val="20"/>
              </w:rPr>
            </w:pPr>
            <w:r>
              <w:rPr>
                <w:rFonts w:eastAsia="Times New Roman;Times;Serif"/>
                <w:sz w:val="20"/>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LOSS FROM OPERATIONS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(1,887,125</w:t>
            </w:r>
          </w:p>
        </w:tc>
        <w:tc>
          <w:tcPr>
            <w:tcW w:w="12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(529,620</w:t>
            </w:r>
          </w:p>
        </w:tc>
        <w:tc>
          <w:tcPr>
            <w:tcW w:w="12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(610,501</w:t>
            </w:r>
          </w:p>
        </w:tc>
        <w:tc>
          <w:tcPr>
            <w:tcW w:w="17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491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eastAsia="Times New Roman;Times;Serif"/>
                <w:sz w:val="20"/>
              </w:rPr>
            </w:pPr>
            <w:r>
              <w:rPr>
                <w:rFonts w:eastAsia="Times New Roman;Times;Serif"/>
                <w:sz w:val="20"/>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OTHER (EXPENSES) INCOME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Interest (expense) income, net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(188,327</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(50,928</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35,505</w:t>
            </w:r>
          </w:p>
        </w:tc>
        <w:tc>
          <w:tcPr>
            <w:tcW w:w="170" w:type="dxa"/>
            <w:tcBorders/>
            <w:shd w:fill="CCEEFF" w:val="clear"/>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Other income, net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871,967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687,492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193,425</w:t>
            </w:r>
          </w:p>
        </w:tc>
        <w:tc>
          <w:tcPr>
            <w:tcW w:w="170" w:type="dxa"/>
            <w:tcBorders/>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Interest income from long term debt investments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1,465,180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723,945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534,575</w:t>
            </w:r>
          </w:p>
        </w:tc>
        <w:tc>
          <w:tcPr>
            <w:tcW w:w="170" w:type="dxa"/>
            <w:tcBorders/>
            <w:shd w:fill="CCEEFF" w:val="clear"/>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other income, net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2,148,820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1,360,509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763,505</w:t>
            </w:r>
          </w:p>
        </w:tc>
        <w:tc>
          <w:tcPr>
            <w:tcW w:w="170" w:type="dxa"/>
            <w:tcBorders/>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PROFIT BEFORE INCOME TAX EXPENSE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261,695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830,889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153,004</w:t>
            </w:r>
          </w:p>
        </w:tc>
        <w:tc>
          <w:tcPr>
            <w:tcW w:w="170" w:type="dxa"/>
            <w:tcBorders/>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INCOME TAX EXPENSE</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(74,155</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(74,604</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(119,416</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91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NET INCOME</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3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187,540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3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756,285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3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33,588</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 revenue primarily from bakery products and other products sold in China and the U.S. In the PRC Stores, bakery products consist of packaged bakery products (cakes, bread, and snacks), birthday cakes, and made-in-store pastries, and other products consist of seasonal products (mooncakes and zongzi) and beverage products. In the U.S. Stores, bakery products consist of cakes, bread, sweets, birthday cakes, and pastries, and other products consist of eat-in menu items (sandwiches, salads, toasts, croissants, soups, and desserts) and beverage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total revenue increased by $41,357, or 0.2%, from $18,227,537 for the year ended December 31, 2024 to $18,268,894 for the year ended December 31, 2025. The slight increase in our revenue was due to increased revenue from the PRC Stores, which was partially offset by decreased revenue from the U.S. Stores.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total revenue increased by $974,875, or 5.7%, from $17,252,662 for the year ended December 31, 2023 to $18,227,537 for the year ended December 31, 2024. The increase in our revenue was due to increased revenue from the PRC Stores, which was partially offset by decreased revenue from the U.S. Stores.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breakdown of our revenue for the years ended December 31, 2025, 2024 and 2023, respectively: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40"/>
        <w:gridCol w:w="90"/>
        <w:gridCol w:w="170"/>
        <w:gridCol w:w="1130"/>
        <w:gridCol w:w="90"/>
        <w:gridCol w:w="90"/>
        <w:gridCol w:w="90"/>
        <w:gridCol w:w="590"/>
        <w:gridCol w:w="290"/>
        <w:gridCol w:w="90"/>
        <w:gridCol w:w="170"/>
        <w:gridCol w:w="1130"/>
        <w:gridCol w:w="90"/>
        <w:gridCol w:w="90"/>
        <w:gridCol w:w="90"/>
        <w:gridCol w:w="590"/>
        <w:gridCol w:w="290"/>
        <w:gridCol w:w="90"/>
        <w:gridCol w:w="170"/>
        <w:gridCol w:w="1130"/>
        <w:gridCol w:w="90"/>
        <w:gridCol w:w="90"/>
        <w:gridCol w:w="90"/>
        <w:gridCol w:w="590"/>
        <w:gridCol w:w="335"/>
      </w:tblGrid>
      <w:tr>
        <w:trPr/>
        <w:tc>
          <w:tcPr>
            <w:tcW w:w="254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240" w:type="dxa"/>
            <w:gridSpan w:val="2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Years Ended December 31,</w:t>
            </w:r>
          </w:p>
        </w:tc>
        <w:tc>
          <w:tcPr>
            <w:tcW w:w="335" w:type="dxa"/>
            <w:tcBorders/>
            <w:vAlign w:val="center"/>
          </w:tcPr>
          <w:p>
            <w:pPr>
              <w:pStyle w:val="TableContents"/>
              <w:bidi w:val="0"/>
              <w:spacing w:before="0" w:after="283"/>
              <w:jc w:val="center"/>
              <w:rPr/>
            </w:pPr>
            <w:r>
              <w:rPr/>
              <w:t> </w:t>
            </w:r>
          </w:p>
        </w:tc>
      </w:tr>
      <w:tr>
        <w:trPr/>
        <w:tc>
          <w:tcPr>
            <w:tcW w:w="254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2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2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335" w:type="dxa"/>
            <w:tcBorders/>
            <w:vAlign w:val="center"/>
          </w:tcPr>
          <w:p>
            <w:pPr>
              <w:pStyle w:val="TableContents"/>
              <w:bidi w:val="0"/>
              <w:spacing w:before="0" w:after="283"/>
              <w:ind w:left="0" w:right="0" w:hanging="180"/>
              <w:jc w:val="center"/>
              <w:rPr/>
            </w:pPr>
            <w:r>
              <w:rPr/>
              <w:t> </w:t>
            </w:r>
          </w:p>
        </w:tc>
      </w:tr>
      <w:tr>
        <w:trPr/>
        <w:tc>
          <w:tcPr>
            <w:tcW w:w="2540"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China</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ind w:left="0" w:right="0" w:hanging="180"/>
              <w:jc w:val="left"/>
              <w:rPr/>
            </w:pPr>
            <w:r>
              <w:rPr/>
              <w:t> </w:t>
            </w:r>
          </w:p>
        </w:tc>
      </w:tr>
      <w:tr>
        <w:trPr/>
        <w:tc>
          <w:tcPr>
            <w:tcW w:w="254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Bakery products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14,624,682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80.0</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14,793,850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81.1</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12,532,127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72.6</w:t>
            </w:r>
          </w:p>
        </w:tc>
        <w:tc>
          <w:tcPr>
            <w:tcW w:w="335"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25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Other products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1,733,842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w:t>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1,348,844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w:t>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1,782,030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w:t>
            </w:r>
          </w:p>
        </w:tc>
        <w:tc>
          <w:tcPr>
            <w:tcW w:w="335" w:type="dxa"/>
            <w:tcBorders/>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25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Subtotal: revenue from China</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16,358,524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89.5</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16,142,694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88.5</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14,314,157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82.9</w:t>
            </w:r>
          </w:p>
        </w:tc>
        <w:tc>
          <w:tcPr>
            <w:tcW w:w="335"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254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335" w:type="dxa"/>
            <w:tcBorders/>
            <w:vAlign w:val="center"/>
          </w:tcPr>
          <w:p>
            <w:pPr>
              <w:pStyle w:val="TableContents"/>
              <w:bidi w:val="0"/>
              <w:spacing w:before="0" w:after="283"/>
              <w:ind w:left="0" w:right="0" w:hanging="180"/>
              <w:jc w:val="left"/>
              <w:rPr/>
            </w:pPr>
            <w:r>
              <w:rPr/>
              <w:t> </w:t>
            </w:r>
          </w:p>
        </w:tc>
      </w:tr>
      <w:tr>
        <w:trPr/>
        <w:tc>
          <w:tcPr>
            <w:tcW w:w="2540"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United States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335" w:type="dxa"/>
            <w:tcBorders/>
            <w:shd w:fill="CCEEFF" w:val="clear"/>
            <w:vAlign w:val="center"/>
          </w:tcPr>
          <w:p>
            <w:pPr>
              <w:pStyle w:val="TableContents"/>
              <w:bidi w:val="0"/>
              <w:spacing w:before="0" w:after="283"/>
              <w:ind w:left="0" w:right="0" w:hanging="180"/>
              <w:jc w:val="left"/>
              <w:rPr/>
            </w:pPr>
            <w:r>
              <w:rPr/>
              <w:t> </w:t>
            </w:r>
          </w:p>
        </w:tc>
      </w:tr>
      <w:tr>
        <w:trPr/>
        <w:tc>
          <w:tcPr>
            <w:tcW w:w="25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Bakery products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251,323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w:t>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506,264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w:t>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444,958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w:t>
            </w:r>
          </w:p>
        </w:tc>
        <w:tc>
          <w:tcPr>
            <w:tcW w:w="335" w:type="dxa"/>
            <w:tcBorders/>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254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Beverage products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1,500,678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1,276,306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1,700,974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w:t>
            </w:r>
          </w:p>
        </w:tc>
        <w:tc>
          <w:tcPr>
            <w:tcW w:w="335"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25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Eat-in services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158,369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0.9</w:t>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302,273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w:t>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792,573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w:t>
            </w:r>
          </w:p>
        </w:tc>
        <w:tc>
          <w:tcPr>
            <w:tcW w:w="335" w:type="dxa"/>
            <w:tcBorders/>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25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Subtotal: revenue from the United States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1,910,370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2,084,843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2,938,505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w:t>
            </w:r>
          </w:p>
        </w:tc>
        <w:tc>
          <w:tcPr>
            <w:tcW w:w="335"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254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335" w:type="dxa"/>
            <w:tcBorders/>
            <w:vAlign w:val="center"/>
          </w:tcPr>
          <w:p>
            <w:pPr>
              <w:pStyle w:val="TableContents"/>
              <w:bidi w:val="0"/>
              <w:spacing w:before="0" w:after="283"/>
              <w:ind w:left="0" w:right="0" w:hanging="180"/>
              <w:jc w:val="left"/>
              <w:rPr/>
            </w:pPr>
            <w:r>
              <w:rPr/>
              <w:t> </w:t>
            </w:r>
          </w:p>
        </w:tc>
      </w:tr>
      <w:tr>
        <w:trPr/>
        <w:tc>
          <w:tcPr>
            <w:tcW w:w="2540"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Total Revenue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18,268,894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100.0</w:t>
            </w:r>
          </w:p>
        </w:tc>
        <w:tc>
          <w:tcPr>
            <w:tcW w:w="29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18,227,537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100.0</w:t>
            </w:r>
          </w:p>
        </w:tc>
        <w:tc>
          <w:tcPr>
            <w:tcW w:w="29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17,252,662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100.0</w:t>
            </w:r>
          </w:p>
        </w:tc>
        <w:tc>
          <w:tcPr>
            <w:tcW w:w="33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Stores accounted for 89.5%, 88.5% and 82.9% of our total revenue for the years ended December 31, 2025, 2024 and 2023,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China remained relatively stable with a slight increase by $215,830, or 1.3%, from $16,142,694 for the year ended December 31, 2024 to $16,358,524 for the year ended December 31, 2025. The slight increase was mainly due to the increased revenue from other products, which was partially offset by the decrease revenue from bakery products. Revenue from bakery products remained relatively stable with a slight decrease by $169,168, or 1.1%, from $14,793,850 for the year ended December 31, 2024 to $14,624,682 for the year ended December 31, 2025. While revenue from bakery products decreased, our revenue from bakery products (excluding the impact of foreign currency translation) slightly increased by 1.3% for the year ended December 31, 2025 as compared to the same period last year. The post-COVID-19 economy in China has recovered at a slower pace than expected, and the spending behavior of consumers have been affected by various factors such as the downward economic pressure and weak consumer confidence. In addition, with the growing prevalence of online consumption, consumers have a wider range of choices and can conveniently purchase bakery products from online brands, which has intensified market competition. As a result, our revenue from bakery products slightly decreased due to the challenging economic environment, cautious consumer spending, and shifts in consumer spending patterns, such as the transition from in-store consumption to online consumption during the year ended December 31, 2025. Revenue from other products increased by $384,998, or 28.5%, from $1,348,844 for the year ended December 31, 2024 to $1,733,842 for the year ended December 31, 2025. The increase was due to increased revenue from seasonal products, which was partially offset by decreased revenue from beverage products. Revenue from seasonal products increased by $516,061, or 52.8%, from $976,847 for the year ended December 31, 2024 to $1,492,908 for the year ended December 31, 2025. We established a Product Planning and Promotion Department staffed with dedicated professionals, which has effectively enhanced the marketing and promotion of our seasonal products, and we received more seasonal products purchase orders. Revenue from beverage products decreased by $131,063, or 35.2%, from $371,997 for the year ended December 31, 2024 to $240,934 for the year ended December 31, 2025. The opening of new stores by several well-known coffee chain brands in Xinjiang, offering products at low prices to gain market share, provided customers with more choices and contributed to a decline in beverage product revenue at our China Stores. As of December 31, 2025, two coffee bakery stores were closed, one in fiscal year 2024 and another in the first half of fiscal year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China increased by $1,828,537, or 12.8%, from $14,314,157 for the year ended December 31, 2023 to $16,142,694 for the year ended December 31, 2024. The increase was mainly due to the increased revenue from bakery products, which was partially offset by the decrease revenue from other products. Revenue from bakery products increased by $2,261,723, or 18.0%, from $12,532,127 for the year ended December 31, 2023 to $14,793,850 for the year ended December 31, 2024. The increase was mainly attributed to the increased revenue generated by the newly opened bakery stores, as fifteen bakery stores were opened during the year ended December 31, 2024. Furthermore, since the start of fiscal year 2024, the PRC Stores have focused more on increasing their market share and there have been increased promotion activities and price discounts given to our customers, which attracted more customers to make purchases at the PRC Stores in the year ended December 31, 2024. Revenue from other products decreased by $433,186, or 24.3%, from $1,782,030 for the year ended December 31, 2023 to $1,348,844 for the year ended December 31, 2024. The decrease was mainly due to decreased revenue from seasonal products as well as from beverage products. Revenue from seasonal products decreased by $329,975, or 25.3%, from $1,306,822 for the year ended December 31, 2023 to $976,847 for the year ended December 31, 2024. The post-COVID-19 economy in China has recovered at a slower pace than expected, and the spending behavior of consumers have been affected by various factors such as the economic downward pressure and lack of consumer confidence. As a result, our revenue from seasonal products decreased due to the consumption downgrade during the year ended December 31, 2024. Our customers were more sensitive to the selling price and preferred lower-priced seasonal products with same quality during the year ended December 31, 2024. Revenue from beverage products decreased by $103,211, or 21.7%, from $475,208 for the year ended December 31, 2023 to $371,997 for the year ended December 31, 2024, mainly due to the decreased revenue from one of our popular coffee bakery stores of approximately $144,000. Due to the renovation of the shopping mall where our store located, our business was adversely affected, hence, we closed its business operation during the year ended December 31, 2024. However, the decrease in revenue from beverage products was partially offset by the increased revenue from freshly brewed coffee products, as the PRC Stores are focusing on expanding the business of coffee beverages and more coffee bakery stores were opened in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the U.S. decreased by $174,473, or 8.4%, from $2,084,843 for the year ended December 31, 2024 to $1,910,370 for the year ended December 31, 2025. The decrease was mainly due to decreased revenue from bakery products and eat-in services, which was partially offset by the increased revenue from beverage products. Revenue from bakery products decreased by $254,941, or 50.4%, from $506,264 for the year ended December 31, 2024 to $251,323 for the year ended December 31, 2025. The decrease was due to the decreased revenue from Chanson 23rd Street of approximately $240,000 and Chanson 3rd Ave of approximately $21,000. Facing increased competition from competitors operating in the same area, Chanson 23rd Street suspended its business operation of bakery products in April 2025. In addition, the customer visits were adversely affected as the building where Chanson 3rd Ave was located was under renovation since the year ended December 31, 2024, as well as the increased competition from competitors operating in the same area as mentioned above, Chanson 3rd Ave suspended all business operation in January 2025. However, the decrease in revenue from bakery products was partially offset by the increased revenue from Chanson Broadway of approximately $10,000. During the six months ended June 30, 2025, as we implemented a series of performance-enhancing measures, including extending business hours, optimizing the products mix and offering more sales promotions and price discounts to attract more customers. Revenue from beverage products increased by $224,372, or 17.6%, from $1,276,306 for the year ended December 31, 2024 to $1,500,678 for the year ended December 31, 2025. The increase in revenue of beverage products was due to an approximately $260,000 revenue increase from Chanson 23rd Street and Chanson Broadway. During the year ended December 31, 2025, we launched several new types of cocktail products with a variety of new flavors and styles, and implemented the performance-enhancing measures as mentioned above, which led to an increase in private event bookings. The increase in revenue of beverage products was partially offset by the decreased revenue from Chanson 3rd Ave resulting from the suspension of business operation as mentioned above. Revenue from eat-in services decreased by $143,904, or 47.6%, from $302,273 for the year ended December 31, 2024 to $158,369 for the year ended December 31, 2025. As mentioned above, Chanson 3rd Ave suspended all business operations in January 2025, hence, revenue from eat-in services decreased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the U.S. decreased by $853,662, or 29.1%, from $2,938,505 for the year ended December 31, 2023 to $2,084,843 for the year ended December 31, 2024. The decrease was mainly due to decreased revenue from beverage products and eat-in services, which was partially offset by the increased revenue from bakery products. Revenue from bakery products increased by $61,306, or 13.8%, from $444,958 for the year ended December 31, 2023 to $506,264 for the year ended December 31, 2024. The increase was due to the increased revenue from bakery products of approximately $183,000, generated by Chanson 23rd Street and Chanson Broadway. During the year ended December 31, 2024, we upgraded our bakery products, making the products more appealing to our customers. In addition, as Chanson Broadway opened in July 2023, twelve months revenue were recognized in the year ended December 31, 2024, as compared to only six months revenue were recognized in the year ended December 31, 2023. The increase in revenue from bakery products was partially offset by the decreased revenue from Chanson Greenwich of approximately $87,000 and Chanson 3rd Ave of approximately $33,000. Many famous bakery brands have opened new stores in New York City, customers now have more choices and revenue from bakery products of Chanson 3rd Ave and Chanson Greenwich were affected. With the increased competition, Chanson Greenwich closed its business operation in the second half of fiscal year 2023. Revenue from beverage products decreased by $424,668, or 25.0%, from $1,700,974 for the year ended December 31, 2023 to $1,276,306 for the year ended December 31, 2024, primarily due to the closure of Chanson Greenwich as mentioned above. The decrease was also attributable to increased competition from competitors operating in the same area. After the cocktail bars of the U.S. Stores launched several new types of cocktail products with new flavors and styles, such products became popular among customers and the cocktail bars were often fully booked by reservation. However, our competitors operating in the same area also launched many types of attractive cocktail products, so customers had more choices, and revenue from beverage products were adversely affected during the year ended December 31, 2024. Revenue from eat-in services decreased by $490,300, or 61.9%, from $792,573 for the year ended December 31, 2023 to $302,273 for the year ended December 31, 2024. The decrease was mainly due to the decreased revenue from Chanson Greenwich of approximately $436,000 as a result of the closure of its business as mentioned above. Moreover, the decrease was due to the decreased revenue from Chanson 23rd Street of approximately $158,000, as Chanson 23rd Street adjusted its menu items and customers were adjusting to the new products. Additionally, the interior design of Chanson 23rd Street was outdated, which made it harder to attract customer visits. The decrease in revenue from eat-in services was partially offset by the increased revenue from eat-in services of approximately $104,000, generated by Chanson 3rd Ave and Chanson Broadway.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cost of revenue consists of food ingredient costs, packaging costs, workforce related costs, overhead costs such as store rental and utilities for food production and processing, depreciation, and amortization.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overall cost of revenue decreased by $982,328, or 8.9%, from $11,033,219 for the year ended December 31, 2024 to $10,050,891 for the year ended December 31, 2025. The decrease in our cost of revenue for the year ended December 31, 2025 was primarily attributable to reductions in cost of revenue of $155,659 from our PRC Stores and $826,669 from our U.S. Stores.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overall cost of revenue increased by $1,927,882, or 21.2%, from $9,105,337 for the year ended December 31, 2023 to $11,033,219 for the year ended December 31, 2024. The increase in our cost of revenue was due to increased cost of revenue from the PRC Stores and the U.S. Stores.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breakdown of our cost of revenue for the years ended December 31, 2025, 2024 and 2023, respectively: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60"/>
        <w:gridCol w:w="90"/>
        <w:gridCol w:w="170"/>
        <w:gridCol w:w="1130"/>
        <w:gridCol w:w="90"/>
        <w:gridCol w:w="90"/>
        <w:gridCol w:w="90"/>
        <w:gridCol w:w="590"/>
        <w:gridCol w:w="290"/>
        <w:gridCol w:w="90"/>
        <w:gridCol w:w="170"/>
        <w:gridCol w:w="1130"/>
        <w:gridCol w:w="90"/>
        <w:gridCol w:w="90"/>
        <w:gridCol w:w="90"/>
        <w:gridCol w:w="590"/>
        <w:gridCol w:w="290"/>
        <w:gridCol w:w="90"/>
        <w:gridCol w:w="170"/>
        <w:gridCol w:w="1010"/>
        <w:gridCol w:w="90"/>
        <w:gridCol w:w="90"/>
        <w:gridCol w:w="90"/>
        <w:gridCol w:w="590"/>
        <w:gridCol w:w="335"/>
      </w:tblGrid>
      <w:tr>
        <w:trPr/>
        <w:tc>
          <w:tcPr>
            <w:tcW w:w="266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120" w:type="dxa"/>
            <w:gridSpan w:val="2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Years Ended December 31,</w:t>
            </w:r>
          </w:p>
        </w:tc>
        <w:tc>
          <w:tcPr>
            <w:tcW w:w="335" w:type="dxa"/>
            <w:tcBorders/>
            <w:vAlign w:val="center"/>
          </w:tcPr>
          <w:p>
            <w:pPr>
              <w:pStyle w:val="TableContents"/>
              <w:bidi w:val="0"/>
              <w:spacing w:before="0" w:after="283"/>
              <w:jc w:val="center"/>
              <w:rPr/>
            </w:pPr>
            <w:r>
              <w:rPr/>
              <w:t> </w:t>
            </w:r>
          </w:p>
        </w:tc>
      </w:tr>
      <w:tr>
        <w:trPr/>
        <w:tc>
          <w:tcPr>
            <w:tcW w:w="266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2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2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335" w:type="dxa"/>
            <w:tcBorders/>
            <w:vAlign w:val="center"/>
          </w:tcPr>
          <w:p>
            <w:pPr>
              <w:pStyle w:val="TableContents"/>
              <w:bidi w:val="0"/>
              <w:spacing w:before="0" w:after="283"/>
              <w:ind w:left="0" w:right="0" w:hanging="180"/>
              <w:jc w:val="center"/>
              <w:rPr/>
            </w:pPr>
            <w:r>
              <w:rPr/>
              <w:t> </w:t>
            </w:r>
          </w:p>
        </w:tc>
      </w:tr>
      <w:tr>
        <w:trPr/>
        <w:tc>
          <w:tcPr>
            <w:tcW w:w="2660"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China</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vAlign w:val="center"/>
          </w:tcPr>
          <w:p>
            <w:pPr>
              <w:pStyle w:val="TableContents"/>
              <w:bidi w:val="0"/>
              <w:spacing w:before="0" w:after="283"/>
              <w:jc w:val="both"/>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vAlign w:val="center"/>
          </w:tcPr>
          <w:p>
            <w:pPr>
              <w:pStyle w:val="TableContents"/>
              <w:bidi w:val="0"/>
              <w:spacing w:before="0" w:after="283"/>
              <w:jc w:val="both"/>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vAlign w:val="center"/>
          </w:tcPr>
          <w:p>
            <w:pPr>
              <w:pStyle w:val="TableContents"/>
              <w:bidi w:val="0"/>
              <w:spacing w:before="0" w:after="283"/>
              <w:jc w:val="both"/>
              <w:rPr/>
            </w:pPr>
            <w:r>
              <w:rPr/>
              <w:t> </w:t>
            </w:r>
          </w:p>
        </w:tc>
        <w:tc>
          <w:tcPr>
            <w:tcW w:w="335" w:type="dxa"/>
            <w:tcBorders/>
            <w:vAlign w:val="center"/>
          </w:tcPr>
          <w:p>
            <w:pPr>
              <w:pStyle w:val="TableContents"/>
              <w:bidi w:val="0"/>
              <w:spacing w:before="0" w:after="283"/>
              <w:ind w:left="0" w:right="0" w:hanging="180"/>
              <w:jc w:val="left"/>
              <w:rPr/>
            </w:pPr>
            <w:r>
              <w:rPr/>
              <w:t> </w:t>
            </w:r>
          </w:p>
        </w:tc>
      </w:tr>
      <w:tr>
        <w:trPr/>
        <w:tc>
          <w:tcPr>
            <w:tcW w:w="26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Bakery products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7,938,536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79.0</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8,345,235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75.6</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6,459,617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70.9</w:t>
            </w:r>
          </w:p>
        </w:tc>
        <w:tc>
          <w:tcPr>
            <w:tcW w:w="335"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26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Other products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867,041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w:t>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616,001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w:t>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736,694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w:t>
            </w:r>
          </w:p>
        </w:tc>
        <w:tc>
          <w:tcPr>
            <w:tcW w:w="335" w:type="dxa"/>
            <w:tcBorders/>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26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Subtotal: cost of revenue from China</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8,805,577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87.6</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8,961,236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81.2</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7,196,311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79.0</w:t>
            </w:r>
          </w:p>
        </w:tc>
        <w:tc>
          <w:tcPr>
            <w:tcW w:w="335"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266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eastAsia="Times New Roman;Times;Serif"/>
                <w:sz w:val="20"/>
              </w:rPr>
            </w:pPr>
            <w:r>
              <w:rPr>
                <w:rFonts w:eastAsia="Times New Roman;Times;Serif"/>
                <w:sz w:val="20"/>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rFonts w:eastAsia="Times New Roman;Times;Serif"/>
                <w:sz w:val="20"/>
              </w:rPr>
            </w:pPr>
            <w:r>
              <w:rPr>
                <w:rFonts w:eastAsia="Times New Roman;Times;Serif"/>
                <w:sz w:val="20"/>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eastAsia="Times New Roman;Times;Serif"/>
                <w:sz w:val="20"/>
              </w:rPr>
            </w:pPr>
            <w:r>
              <w:rPr>
                <w:rFonts w:eastAsia="Times New Roman;Times;Serif"/>
                <w:sz w:val="20"/>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335" w:type="dxa"/>
            <w:tcBorders/>
            <w:vAlign w:val="center"/>
          </w:tcPr>
          <w:p>
            <w:pPr>
              <w:pStyle w:val="TableContents"/>
              <w:bidi w:val="0"/>
              <w:spacing w:before="0" w:after="283"/>
              <w:ind w:left="0" w:right="0" w:hanging="180"/>
              <w:jc w:val="left"/>
              <w:rPr/>
            </w:pPr>
            <w:r>
              <w:rPr/>
              <w:t> </w:t>
            </w:r>
          </w:p>
        </w:tc>
      </w:tr>
      <w:tr>
        <w:trPr/>
        <w:tc>
          <w:tcPr>
            <w:tcW w:w="2660"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United States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eastAsia="Times New Roman;Times;Serif"/>
                <w:sz w:val="20"/>
              </w:rPr>
            </w:pPr>
            <w:r>
              <w:rPr>
                <w:rFonts w:eastAsia="Times New Roman;Times;Serif"/>
                <w:sz w:val="20"/>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eastAsia="Times New Roman;Times;Serif"/>
                <w:sz w:val="20"/>
              </w:rPr>
            </w:pPr>
            <w:r>
              <w:rPr>
                <w:rFonts w:eastAsia="Times New Roman;Times;Serif"/>
                <w:sz w:val="20"/>
              </w:rPr>
              <w:t>　</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eastAsia="Times New Roman;Times;Serif"/>
                <w:sz w:val="20"/>
              </w:rPr>
            </w:pPr>
            <w:r>
              <w:rPr>
                <w:rFonts w:eastAsia="Times New Roman;Times;Serif"/>
                <w:sz w:val="20"/>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335" w:type="dxa"/>
            <w:tcBorders/>
            <w:shd w:fill="CCEEFF" w:val="clear"/>
            <w:vAlign w:val="center"/>
          </w:tcPr>
          <w:p>
            <w:pPr>
              <w:pStyle w:val="TableContents"/>
              <w:bidi w:val="0"/>
              <w:spacing w:before="0" w:after="283"/>
              <w:ind w:left="0" w:right="0" w:hanging="180"/>
              <w:jc w:val="left"/>
              <w:rPr/>
            </w:pPr>
            <w:r>
              <w:rPr/>
              <w:t> </w:t>
            </w:r>
          </w:p>
        </w:tc>
      </w:tr>
      <w:tr>
        <w:trPr/>
        <w:tc>
          <w:tcPr>
            <w:tcW w:w="26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Bakery products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298,960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w:t>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646,945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w:t>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409,552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w:t>
            </w:r>
          </w:p>
        </w:tc>
        <w:tc>
          <w:tcPr>
            <w:tcW w:w="335" w:type="dxa"/>
            <w:tcBorders/>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26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Beverage products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795,172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876,237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891,033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w:t>
            </w:r>
          </w:p>
        </w:tc>
        <w:tc>
          <w:tcPr>
            <w:tcW w:w="335"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26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Eat-in services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151,182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w:t>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548,801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w:t>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608,441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w:t>
            </w:r>
          </w:p>
        </w:tc>
        <w:tc>
          <w:tcPr>
            <w:tcW w:w="335" w:type="dxa"/>
            <w:tcBorders/>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26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Subtotal: cost of revenue from the United States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1,245,314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2,071,983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18.8</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1,909,026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w:t>
            </w:r>
          </w:p>
        </w:tc>
        <w:tc>
          <w:tcPr>
            <w:tcW w:w="335"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26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eastAsia="Times New Roman;Times;Serif"/>
                <w:sz w:val="20"/>
              </w:rPr>
            </w:pPr>
            <w:r>
              <w:rPr>
                <w:rFonts w:eastAsia="Times New Roman;Times;Serif"/>
                <w:sz w:val="20"/>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335" w:type="dxa"/>
            <w:tcBorders/>
            <w:vAlign w:val="center"/>
          </w:tcPr>
          <w:p>
            <w:pPr>
              <w:pStyle w:val="TableContents"/>
              <w:bidi w:val="0"/>
              <w:spacing w:before="0" w:after="283"/>
              <w:ind w:left="0" w:right="0" w:hanging="180"/>
              <w:jc w:val="left"/>
              <w:rPr/>
            </w:pPr>
            <w:r>
              <w:rPr/>
              <w:t> </w:t>
            </w:r>
          </w:p>
        </w:tc>
      </w:tr>
      <w:tr>
        <w:trPr/>
        <w:tc>
          <w:tcPr>
            <w:tcW w:w="266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Cost of Revenue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10,050,891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100.0</w:t>
            </w:r>
          </w:p>
        </w:tc>
        <w:tc>
          <w:tcPr>
            <w:tcW w:w="29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11,033,219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100.0</w:t>
            </w:r>
          </w:p>
        </w:tc>
        <w:tc>
          <w:tcPr>
            <w:tcW w:w="29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9,105,337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100.0</w:t>
            </w:r>
          </w:p>
        </w:tc>
        <w:tc>
          <w:tcPr>
            <w:tcW w:w="33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from China decreased by $155,659, or 1.7%, from $8,961,236 for the year ended December 31, 2024 to $8,805,577 for the year ended December 31, 2025. The decrease was primarily due to the decreased cost of revenue of bakery products, which was partially offset by the increased cost of revenue of other products. Cost of revenue from sales of bakery products decreased by $406,699, or 4.9%, from $8,345,235 for the year ended December 31, 2024 to $7,938,536 for the year ended December 31, 2025, mainly due to the decrease in sales of bakery products. The percentage of decrease in cost of revenue was more than that in revenue during the same period, due to less spoilage and wastage of inventory incurred in the year ended December 31, 2025, as discussed in “—Gross Profit and Gross Margin” below in more details. Cost of revenue from other products increased by $251,040, or 40.8%, from $616,001 for the year ended December 31, 2024 to $867,041 for the year ended December 31, 2025. Cost of revenue from seasonal products increased by $265,309, or 65.4%, from $405,702 for the year ended December 31, 2024 to $671,011 for the year ended December 31, 2025, mainly due to the increase in sales of seasonal products. The percentage of increase in cost of revenue was more than that in revenue during the same period, due to more discounts offered to our customers in the year ended December 31, 2025 as discussed in “—Gross Profit and Gross Margin” below. The cost of revenue from beverage products decreased by $14,269, or 6.8%, from $210,299 for the year ended December 31, 2024 to $196,030 for the year ended December 31, 2025, mainly due to the decrease in sales of coffee products. The percentage of decrease in cost of revenue was less than that in revenue during the same period, due to more discounts offered to our customers in the year ended December 31, 2025, as discussed in “—Gross Profit and Gross Margin”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from China increased by $1,764,925, or 24.5%, from $7,196,311 for the year ended December 31, 2023 to $8,961,236 for the year ended December 31, 2024. The increase was primarily due to the increased cost of revenue of bakery products, which was partially offset by the decreased cost of revenue of other products. Cost of revenue from sales of bakery products increased by $1,885,618, or 29.2%, from $6,459,617 for the year ended December 31, 2023 to $8,345,235 for the year ended December 31, 2024, mainly due to the increase in sales of bakery products. The percentage of increase in cost of revenue was more than that in revenue during the same period, due to more discounts offered to our customers in the year ended December 31, 2024, as discussed in “—Gross Profit and Gross Margin” below in more details. Cost of revenue from other products decreased by $120,693, or 16.4%, from $736,694 for the year ended December 31, 2023 to $616,001 for the year ended December 31, 2024. Cost of revenue from seasonal products decreased by $95,529, or 19.1%, from $501,231 for the year ended December 31, 2023 to $405,702 for the year ended December 31, 2024, mainly due to the decrease in sales of seasonal products. The percentage of decrease in cost of revenue was less than that in revenue during the same period, due to more discounts offered to our customers in the year ended December 31, 2024 as discussed in “—Gross Profit and Gross Margin” below. The cost of revenue from beverage products decreased by $25,164, or 10.7%, from $235,463 for the year ended December 31, 2023 to $210,299 for the year ended December 31, 2024, mainly due to the decrease in sales of coffee products. The percentage of decrease in cost of revenue was less than that in revenue during the same period, due to more discounts offered to our customers in the year ended December 31, 2024, as discussed in “—Gross Profit and Gross Margin”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from the U.S. decreased by $826,669, or 39.9%, from $2,071,983 for the year ended December 31, 2024 to $1,245,314 for the year ended December 31, 2025. The decrease was due to the decreased cost of revenue from bakery products, beverage products and eat-in services. Cost of revenue from sales of bakery products decreased by $347,985, or 53.8%, from $646,945 for the year ended December 31, 2024 to $298,960 for the year ended December 31, 2025, mainly due to the decreased revenue from bakery products. The percentage of decrease in cost of revenue was more than that in revenue during the same period, due to the decreased spoilage and wastage of inventory as discussed in “—Gross Profit and Gross Margin” below. Cost of revenue from sales of beverage products decreased by $81,065, or 9.3%, from $876,237 for the year ended December 31, 2024 to $795,172 for the year ended December 31, 2025. The cost of revenue decreased despite the increased revenue, due to the increased sale of new cocktail products that have higher gross margin and the decreased inventory spoilage and damage in the year ended December 31, 2025, as discussed in “—Gross Profit and Gross Margin” below. Cost of revenue from eat-in services decreased by $397,619, or 72.5%, from $548,801 for the year ended December 31, 2024 to $151,182 for the year ended December 31, 2025. The percentage of decrease in cost of revenue was more than that in revenue, due to the decreased spoilage and wastage of inventory, and the strategic shift in our food offerings, as discussed in “—Gross Profit and Gross Margin”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from the U.S. increased by $162,957, or 8.5%, from $1,909,026 for the year ended December 31, 2023 to $2,071,983 for the year ended December 31, 2024. The increase was due to the increased cost of revenue from bakery products, which was partially offset by the decreased cost of revenue from beverage products and eat-in services. Cost of revenue from sales of bakery products increased by $237,393, or 58.0%, from $409,552 for the year ended December 31, 2023 to $646,945 for the year ended December 31, 2024. The increase was primarily due to the increased cost of revenue from Chanson 23rd Street and Chanson Broadway. The increase in cost of revenue from sales of bakery products was partially offset by the decreased cost of revenue from Chanson 3rd Ave and Chanson Greenwich, which was in line with their decreased revenue from bakery products. The percentage of increase in cost of revenue was more than that in revenue during the same period, due to the increased spoilage and wastage of inventory, and the high fixed costs of Chanson 3rd Ave and Chanson Broadway, as discussed in “—Gross Profit and Gross Margin” below. Cost of revenue from sales of beverage products decreased by $14,796, or 1.7%, from $891,033 for the year ended December 31, 2023 to $876,237 for the year ended December 31, 2024, due to the decrease in sales of beverage products from the U.S. Stores. The percentage of decrease in cost of revenue was less than that in revenue during the same period, due to more discounts offered to our customers, and the high fixed costs of Chanson 3rd Ave and Chanson Broadway in the year ended December 31, 2024, as discussed in “—Gross Profit and Gross Margin” below. Cost of revenue from eat-in services decreased by $59,640, or 9.8%, from $608,441 for the year ended December 31, 2023 to $548,801 for the year ended December 31, 2024. The percentage of decrease in cost of revenue was less than that in revenue, due to the increased spoilage and wastage of inventory, and the high fixed costs of Chanson 3rd Ave and Chanson Broadway, as discussed in “—Gross Profit and Gross Margin”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 (Loss) and Gross Margin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gross profit increased by $1,023,685, or 14.2%, from $7,194,318 for the year ended December 31, 2024 to $8,218,003 for the year ended December 31, 2025. The increase was mainly attributable to the overall increase in revenue. Our gross margin increased by 5.5 percentage points from 39.5% for the year ended December 31, 2024 to 45.0%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gross profit decreased by $953,007, or 11.7%, from $8,147,325 for the year ended December 31, 2023 to $7,194,318 for the year ended December 31, 2024. The decrease was mainly attributable to the increase in revenue from the PRC Stores, and partially offset by the decrease in revenue from the U.S. Stores. Our gross margin decreased by 7.7 percentage points from 47.2% for the year ended December 31, 2023 to 39.5% for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breakdown of our gross profit for the years ended December 31, 2025, 2024 and 2023, respectively: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81"/>
        <w:gridCol w:w="90"/>
        <w:gridCol w:w="170"/>
        <w:gridCol w:w="1010"/>
        <w:gridCol w:w="125"/>
        <w:gridCol w:w="90"/>
        <w:gridCol w:w="125"/>
        <w:gridCol w:w="765"/>
        <w:gridCol w:w="297"/>
        <w:gridCol w:w="90"/>
        <w:gridCol w:w="170"/>
        <w:gridCol w:w="1010"/>
        <w:gridCol w:w="125"/>
        <w:gridCol w:w="90"/>
        <w:gridCol w:w="125"/>
        <w:gridCol w:w="765"/>
        <w:gridCol w:w="297"/>
        <w:gridCol w:w="90"/>
        <w:gridCol w:w="170"/>
        <w:gridCol w:w="1010"/>
        <w:gridCol w:w="90"/>
        <w:gridCol w:w="90"/>
        <w:gridCol w:w="141"/>
        <w:gridCol w:w="749"/>
        <w:gridCol w:w="340"/>
      </w:tblGrid>
      <w:tr>
        <w:trPr/>
        <w:tc>
          <w:tcPr>
            <w:tcW w:w="2181" w:type="dxa"/>
            <w:tcBorders/>
            <w:vAlign w:val="center"/>
          </w:tcPr>
          <w:p>
            <w:pPr>
              <w:pStyle w:val="TableContents"/>
              <w:bidi w:val="0"/>
              <w:spacing w:before="0" w:after="283"/>
              <w:ind w:left="0" w:right="0" w:hanging="180"/>
              <w:jc w:val="center"/>
              <w:rPr/>
            </w:pPr>
            <w:r>
              <w:rPr/>
              <w:t> </w:t>
            </w:r>
          </w:p>
        </w:tc>
        <w:tc>
          <w:tcPr>
            <w:tcW w:w="90" w:type="dxa"/>
            <w:tcBorders/>
            <w:vAlign w:val="center"/>
          </w:tcPr>
          <w:p>
            <w:pPr>
              <w:pStyle w:val="TableContents"/>
              <w:bidi w:val="0"/>
              <w:spacing w:before="0" w:after="283"/>
              <w:jc w:val="left"/>
              <w:rPr/>
            </w:pPr>
            <w:r>
              <w:rPr/>
              <w:t> </w:t>
            </w:r>
          </w:p>
        </w:tc>
        <w:tc>
          <w:tcPr>
            <w:tcW w:w="7594" w:type="dxa"/>
            <w:gridSpan w:val="2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Years Ended December 31,</w:t>
            </w:r>
          </w:p>
        </w:tc>
        <w:tc>
          <w:tcPr>
            <w:tcW w:w="340" w:type="dxa"/>
            <w:tcBorders/>
            <w:vAlign w:val="center"/>
          </w:tcPr>
          <w:p>
            <w:pPr>
              <w:pStyle w:val="TableContents"/>
              <w:bidi w:val="0"/>
              <w:spacing w:before="0" w:after="283"/>
              <w:ind w:left="0" w:right="0" w:hanging="180"/>
              <w:jc w:val="left"/>
              <w:rPr/>
            </w:pPr>
            <w:r>
              <w:rPr/>
              <w:t> </w:t>
            </w:r>
          </w:p>
        </w:tc>
      </w:tr>
      <w:tr>
        <w:trPr/>
        <w:tc>
          <w:tcPr>
            <w:tcW w:w="218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Margin %</w:t>
            </w:r>
          </w:p>
        </w:tc>
        <w:tc>
          <w:tcPr>
            <w:tcW w:w="29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Margin %</w:t>
            </w:r>
          </w:p>
        </w:tc>
        <w:tc>
          <w:tcPr>
            <w:tcW w:w="29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Margin %</w:t>
            </w:r>
          </w:p>
        </w:tc>
        <w:tc>
          <w:tcPr>
            <w:tcW w:w="340" w:type="dxa"/>
            <w:tcBorders/>
            <w:vAlign w:val="center"/>
          </w:tcPr>
          <w:p>
            <w:pPr>
              <w:pStyle w:val="TableContents"/>
              <w:bidi w:val="0"/>
              <w:spacing w:before="0" w:after="283"/>
              <w:ind w:left="0" w:right="0" w:hanging="180"/>
              <w:jc w:val="left"/>
              <w:rPr/>
            </w:pPr>
            <w:r>
              <w:rPr/>
              <w:t> </w:t>
            </w:r>
          </w:p>
        </w:tc>
      </w:tr>
      <w:tr>
        <w:trPr/>
        <w:tc>
          <w:tcPr>
            <w:tcW w:w="2181"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China</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both"/>
              <w:rPr/>
            </w:pPr>
            <w:r>
              <w:rPr/>
              <w:t> </w:t>
            </w:r>
          </w:p>
        </w:tc>
        <w:tc>
          <w:tcPr>
            <w:tcW w:w="29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both"/>
              <w:rPr/>
            </w:pPr>
            <w:r>
              <w:rPr/>
              <w:t> </w:t>
            </w:r>
          </w:p>
        </w:tc>
        <w:tc>
          <w:tcPr>
            <w:tcW w:w="29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both"/>
              <w:rPr/>
            </w:pPr>
            <w:r>
              <w:rPr/>
              <w:t> </w:t>
            </w:r>
          </w:p>
        </w:tc>
        <w:tc>
          <w:tcPr>
            <w:tcW w:w="340" w:type="dxa"/>
            <w:tcBorders/>
            <w:vAlign w:val="center"/>
          </w:tcPr>
          <w:p>
            <w:pPr>
              <w:pStyle w:val="TableContents"/>
              <w:bidi w:val="0"/>
              <w:spacing w:before="0" w:after="283"/>
              <w:ind w:left="0" w:right="0" w:hanging="180"/>
              <w:jc w:val="left"/>
              <w:rPr/>
            </w:pPr>
            <w:r>
              <w:rPr/>
              <w:t> </w:t>
            </w:r>
          </w:p>
        </w:tc>
      </w:tr>
      <w:tr>
        <w:trPr/>
        <w:tc>
          <w:tcPr>
            <w:tcW w:w="2181"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Bakery products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6,686,146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6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45.7</w:t>
            </w:r>
          </w:p>
        </w:tc>
        <w:tc>
          <w:tcPr>
            <w:tcW w:w="29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6,448,615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6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43.6</w:t>
            </w:r>
          </w:p>
        </w:tc>
        <w:tc>
          <w:tcPr>
            <w:tcW w:w="29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6,072,510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48.5</w:t>
            </w:r>
          </w:p>
        </w:tc>
        <w:tc>
          <w:tcPr>
            <w:tcW w:w="340"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218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Other products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866,801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6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w:t>
            </w:r>
          </w:p>
        </w:tc>
        <w:tc>
          <w:tcPr>
            <w:tcW w:w="2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732,843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6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54.3</w:t>
            </w:r>
          </w:p>
        </w:tc>
        <w:tc>
          <w:tcPr>
            <w:tcW w:w="2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1,045,336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58.7</w:t>
            </w:r>
          </w:p>
        </w:tc>
        <w:tc>
          <w:tcPr>
            <w:tcW w:w="340" w:type="dxa"/>
            <w:tcBorders/>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21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Subtotal: gross margin and margin % from China</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7,552,947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6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46.2</w:t>
            </w:r>
          </w:p>
        </w:tc>
        <w:tc>
          <w:tcPr>
            <w:tcW w:w="29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7,181,458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6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44.5</w:t>
            </w:r>
          </w:p>
        </w:tc>
        <w:tc>
          <w:tcPr>
            <w:tcW w:w="29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7,117,846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49.7</w:t>
            </w:r>
          </w:p>
        </w:tc>
        <w:tc>
          <w:tcPr>
            <w:tcW w:w="340"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2181"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65" w:type="dxa"/>
            <w:tcBorders/>
            <w:vAlign w:val="center"/>
          </w:tcPr>
          <w:p>
            <w:pPr>
              <w:pStyle w:val="TableContents"/>
              <w:bidi w:val="0"/>
              <w:spacing w:before="0" w:after="283"/>
              <w:jc w:val="right"/>
              <w:rPr>
                <w:rFonts w:eastAsia="Times New Roman;Times;Serif"/>
                <w:sz w:val="20"/>
              </w:rPr>
            </w:pPr>
            <w:r>
              <w:rPr>
                <w:rFonts w:eastAsia="Times New Roman;Times;Serif"/>
                <w:sz w:val="20"/>
              </w:rPr>
              <w:t>　</w:t>
            </w:r>
          </w:p>
        </w:tc>
        <w:tc>
          <w:tcPr>
            <w:tcW w:w="29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eastAsia="Times New Roman;Times;Serif"/>
                <w:sz w:val="20"/>
              </w:rPr>
            </w:pPr>
            <w:r>
              <w:rPr>
                <w:rFonts w:eastAsia="Times New Roman;Times;Serif"/>
                <w:sz w:val="20"/>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65" w:type="dxa"/>
            <w:tcBorders/>
            <w:vAlign w:val="center"/>
          </w:tcPr>
          <w:p>
            <w:pPr>
              <w:pStyle w:val="TableContents"/>
              <w:bidi w:val="0"/>
              <w:spacing w:before="0" w:after="283"/>
              <w:jc w:val="right"/>
              <w:rPr>
                <w:rFonts w:eastAsia="Times New Roman;Times;Serif"/>
                <w:sz w:val="20"/>
              </w:rPr>
            </w:pPr>
            <w:r>
              <w:rPr>
                <w:rFonts w:eastAsia="Times New Roman;Times;Serif"/>
                <w:sz w:val="20"/>
              </w:rPr>
              <w:t>　</w:t>
            </w:r>
          </w:p>
        </w:tc>
        <w:tc>
          <w:tcPr>
            <w:tcW w:w="29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eastAsia="Times New Roman;Times;Serif"/>
                <w:sz w:val="20"/>
              </w:rPr>
            </w:pPr>
            <w:r>
              <w:rPr>
                <w:rFonts w:eastAsia="Times New Roman;Times;Serif"/>
                <w:sz w:val="20"/>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rFonts w:eastAsia="Times New Roman;Times;Serif"/>
                <w:sz w:val="20"/>
              </w:rPr>
            </w:pPr>
            <w:r>
              <w:rPr>
                <w:rFonts w:eastAsia="Times New Roman;Times;Serif"/>
                <w:sz w:val="20"/>
              </w:rPr>
              <w:t>　</w:t>
            </w:r>
          </w:p>
        </w:tc>
        <w:tc>
          <w:tcPr>
            <w:tcW w:w="340" w:type="dxa"/>
            <w:tcBorders/>
            <w:vAlign w:val="center"/>
          </w:tcPr>
          <w:p>
            <w:pPr>
              <w:pStyle w:val="TableContents"/>
              <w:bidi w:val="0"/>
              <w:spacing w:before="0" w:after="283"/>
              <w:ind w:left="0" w:right="0" w:hanging="180"/>
              <w:jc w:val="left"/>
              <w:rPr/>
            </w:pPr>
            <w:r>
              <w:rPr/>
              <w:t> </w:t>
            </w:r>
          </w:p>
        </w:tc>
      </w:tr>
      <w:tr>
        <w:trPr/>
        <w:tc>
          <w:tcPr>
            <w:tcW w:w="2181"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United States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65" w:type="dxa"/>
            <w:tcBorders/>
            <w:shd w:fill="CCEEFF" w:val="clear"/>
            <w:vAlign w:val="center"/>
          </w:tcPr>
          <w:p>
            <w:pPr>
              <w:pStyle w:val="TableContents"/>
              <w:bidi w:val="0"/>
              <w:spacing w:before="0" w:after="283"/>
              <w:jc w:val="right"/>
              <w:rPr>
                <w:rFonts w:eastAsia="Times New Roman;Times;Serif"/>
                <w:sz w:val="20"/>
              </w:rPr>
            </w:pPr>
            <w:r>
              <w:rPr>
                <w:rFonts w:eastAsia="Times New Roman;Times;Serif"/>
                <w:sz w:val="20"/>
              </w:rPr>
              <w:t>　</w:t>
            </w:r>
          </w:p>
        </w:tc>
        <w:tc>
          <w:tcPr>
            <w:tcW w:w="29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eastAsia="Times New Roman;Times;Serif"/>
                <w:sz w:val="20"/>
              </w:rPr>
            </w:pPr>
            <w:r>
              <w:rPr>
                <w:rFonts w:eastAsia="Times New Roman;Times;Serif"/>
                <w:sz w:val="20"/>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65" w:type="dxa"/>
            <w:tcBorders/>
            <w:shd w:fill="CCEEFF" w:val="clear"/>
            <w:vAlign w:val="center"/>
          </w:tcPr>
          <w:p>
            <w:pPr>
              <w:pStyle w:val="TableContents"/>
              <w:bidi w:val="0"/>
              <w:spacing w:before="0" w:after="283"/>
              <w:jc w:val="right"/>
              <w:rPr>
                <w:rFonts w:eastAsia="Times New Roman;Times;Serif"/>
                <w:sz w:val="20"/>
              </w:rPr>
            </w:pPr>
            <w:r>
              <w:rPr>
                <w:rFonts w:eastAsia="Times New Roman;Times;Serif"/>
                <w:sz w:val="20"/>
              </w:rPr>
              <w:t>　</w:t>
            </w:r>
          </w:p>
        </w:tc>
        <w:tc>
          <w:tcPr>
            <w:tcW w:w="29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eastAsia="Times New Roman;Times;Serif"/>
                <w:sz w:val="20"/>
              </w:rPr>
            </w:pPr>
            <w:r>
              <w:rPr>
                <w:rFonts w:eastAsia="Times New Roman;Times;Serif"/>
                <w:sz w:val="20"/>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rFonts w:eastAsia="Times New Roman;Times;Serif"/>
                <w:sz w:val="20"/>
              </w:rPr>
            </w:pPr>
            <w:r>
              <w:rPr>
                <w:rFonts w:eastAsia="Times New Roman;Times;Serif"/>
                <w:sz w:val="20"/>
              </w:rPr>
              <w:t>　</w:t>
            </w:r>
          </w:p>
        </w:tc>
        <w:tc>
          <w:tcPr>
            <w:tcW w:w="340" w:type="dxa"/>
            <w:tcBorders/>
            <w:shd w:fill="CCEEFF" w:val="clear"/>
            <w:vAlign w:val="center"/>
          </w:tcPr>
          <w:p>
            <w:pPr>
              <w:pStyle w:val="TableContents"/>
              <w:bidi w:val="0"/>
              <w:spacing w:before="0" w:after="283"/>
              <w:ind w:left="0" w:right="0" w:hanging="180"/>
              <w:jc w:val="left"/>
              <w:rPr/>
            </w:pPr>
            <w:r>
              <w:rPr/>
              <w:t> </w:t>
            </w:r>
          </w:p>
        </w:tc>
      </w:tr>
      <w:tr>
        <w:trPr/>
        <w:tc>
          <w:tcPr>
            <w:tcW w:w="218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Bakery products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(47,637</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6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(19.0</w:t>
            </w:r>
          </w:p>
        </w:tc>
        <w:tc>
          <w:tcPr>
            <w:tcW w:w="2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(140,681</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6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w:t>
            </w:r>
          </w:p>
        </w:tc>
        <w:tc>
          <w:tcPr>
            <w:tcW w:w="2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35,406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w:t>
            </w:r>
          </w:p>
        </w:tc>
        <w:tc>
          <w:tcPr>
            <w:tcW w:w="340" w:type="dxa"/>
            <w:tcBorders/>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2181"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Beverage products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705,506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6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47.0</w:t>
            </w:r>
          </w:p>
        </w:tc>
        <w:tc>
          <w:tcPr>
            <w:tcW w:w="29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400,069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6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w:t>
            </w:r>
          </w:p>
        </w:tc>
        <w:tc>
          <w:tcPr>
            <w:tcW w:w="29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809,941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47.6</w:t>
            </w:r>
          </w:p>
        </w:tc>
        <w:tc>
          <w:tcPr>
            <w:tcW w:w="340"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218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Eat-in services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7,187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6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w:t>
            </w:r>
          </w:p>
        </w:tc>
        <w:tc>
          <w:tcPr>
            <w:tcW w:w="2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(246,528</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6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(81.6</w:t>
            </w:r>
          </w:p>
        </w:tc>
        <w:tc>
          <w:tcPr>
            <w:tcW w:w="2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184,132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23.2</w:t>
            </w:r>
          </w:p>
        </w:tc>
        <w:tc>
          <w:tcPr>
            <w:tcW w:w="340" w:type="dxa"/>
            <w:tcBorders/>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21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Subtotal: gross margin and margin % from the United States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665,056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6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34.8</w:t>
            </w:r>
          </w:p>
        </w:tc>
        <w:tc>
          <w:tcPr>
            <w:tcW w:w="29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12,860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6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0.6</w:t>
            </w:r>
          </w:p>
        </w:tc>
        <w:tc>
          <w:tcPr>
            <w:tcW w:w="29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1,029,479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35.0</w:t>
            </w:r>
          </w:p>
        </w:tc>
        <w:tc>
          <w:tcPr>
            <w:tcW w:w="340"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2181"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65" w:type="dxa"/>
            <w:tcBorders/>
            <w:vAlign w:val="center"/>
          </w:tcPr>
          <w:p>
            <w:pPr>
              <w:pStyle w:val="TableContents"/>
              <w:bidi w:val="0"/>
              <w:spacing w:before="0" w:after="283"/>
              <w:jc w:val="right"/>
              <w:rPr/>
            </w:pPr>
            <w:r>
              <w:rPr/>
              <w:t> </w:t>
            </w:r>
          </w:p>
        </w:tc>
        <w:tc>
          <w:tcPr>
            <w:tcW w:w="29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eastAsia="Times New Roman;Times;Serif"/>
                <w:sz w:val="20"/>
              </w:rPr>
            </w:pPr>
            <w:r>
              <w:rPr>
                <w:rFonts w:eastAsia="Times New Roman;Times;Serif"/>
                <w:sz w:val="20"/>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65" w:type="dxa"/>
            <w:tcBorders/>
            <w:vAlign w:val="center"/>
          </w:tcPr>
          <w:p>
            <w:pPr>
              <w:pStyle w:val="TableContents"/>
              <w:bidi w:val="0"/>
              <w:spacing w:before="0" w:after="283"/>
              <w:jc w:val="right"/>
              <w:rPr/>
            </w:pPr>
            <w:r>
              <w:rPr/>
              <w:t> </w:t>
            </w:r>
          </w:p>
        </w:tc>
        <w:tc>
          <w:tcPr>
            <w:tcW w:w="29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 </w:t>
            </w:r>
          </w:p>
        </w:tc>
        <w:tc>
          <w:tcPr>
            <w:tcW w:w="340" w:type="dxa"/>
            <w:tcBorders/>
            <w:vAlign w:val="center"/>
          </w:tcPr>
          <w:p>
            <w:pPr>
              <w:pStyle w:val="TableContents"/>
              <w:bidi w:val="0"/>
              <w:spacing w:before="0" w:after="283"/>
              <w:ind w:left="0" w:right="0" w:hanging="180"/>
              <w:jc w:val="left"/>
              <w:rPr/>
            </w:pPr>
            <w:r>
              <w:rPr/>
              <w:t> </w:t>
            </w:r>
          </w:p>
        </w:tc>
      </w:tr>
      <w:tr>
        <w:trPr/>
        <w:tc>
          <w:tcPr>
            <w:tcW w:w="218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Gross Margin and Margin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8,218,003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6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45.0</w:t>
            </w:r>
          </w:p>
        </w:tc>
        <w:tc>
          <w:tcPr>
            <w:tcW w:w="297"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7,194,318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6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39.5</w:t>
            </w:r>
          </w:p>
        </w:tc>
        <w:tc>
          <w:tcPr>
            <w:tcW w:w="297"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8,147,325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47.2</w:t>
            </w:r>
          </w:p>
        </w:tc>
        <w:tc>
          <w:tcPr>
            <w:tcW w:w="3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from China increased by $371,489, or 5.2%, from $7,181,458 for the year ended December 31, 2024 to $7,552,947 for the year ended December 31, 2025. The increase was mainly attributable to the overall increase in sales. The gross margin increased by 1.7 percentage points from 44.5% for the year ended December 31, 2024 to 46.2% for the year ended December 31, 2025. The gross profit of bakery products increased by $237,531, or 3.7%, from $6,448,615 for the year ended December 31, 2024 to $6,686,146 for the year ended December 31, 2025, and the gross margin of bakery products increased by 2.1 percentage points from 43.6% for the year ended December 31, 2024 to 45.7% for the year ended December 31, 2025. Amid the challenging economic environment, we implemented strict cost control measures. We also enhanced customer traffic forecasting to better match production with demand, which minimized spoilage and expiration of short-shelf-life bakery products and fresh ingredients during the year ended December 31, 2025. The gross profit of other products increased by $133,958, or 18.3%, from $732,843 for the year ended December 31, 2024 to $866,801 for the year ended December 31, 2025, and the gross margin decreased by 4.3 percentage points from 54.3% for the year ended December 31, 2024 to 50.0% for the year ended December 31, 2025. The gross margin of seasonal products decreased by 3.4 percentage points from 58.5% for the year ended December 31, 2024 to 55.1% for the year ended December 31, 2025. As a result of the cautious consumer spending and shifts in consumer spending patterns as mentioned above, we offered more sales promotions and price discounts to attract more customers, which resulted in a decrease in gross margin of seasonal products for the year ended December 31, 2025 as compared to last year. The gross margin of beverage products decreased by 24.9 percentage points from 43.5% for the year ended December 31, 2024 to 18.6% for the year ended December 31, 2025. Many famous coffee chain brands opened new stores in Xinjiang and offer products at very low prices to expand their market shares. With the increased competition from our rivals, we had to offer more sales promotions and price discounts to attract more customers. Therefore, our gross margin of beverage products decreased during the year ended December 31, 2025 as compared to fiscal year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from China remained relatively stable with a slight increase by $63,612, or 0.9%, from $7,117,846 for the year ended December 31, 2023 to $7,181,458 for the year ended December 31, 2024. The increase was mainly attributable to the overall increase in sales. The gross margin decreased by 5.2% percentage points from 49.7% for the year ended December 31, 2023 to 44.5% for the year ended December 31, 2024. The gross profit of bakery products increased by $376,105, or 6.2%, from $6,072,510 for the year ended December 31, 2023 to $6,448,615 for the year ended December 31, 2024, and the gross margin of bakery products decreased by 4.9 percentage points from 48.5% for the year ended December 31, 2023 to 43.6% for the year ended December 31, 2024. Since the start of fiscal year 2024, the PRC Stores have focused more on increasing their market share, and due to the consumption downgrade as mentioned above, there have been increased promotion activities and price discounts given to their customers, which resulted in a decrease in gross margin of bakery products for the year ended December 31, 2024. The gross profit of other products decreased by $312,493, or 29.9%, from $1,045,336 for the year ended December 31, 2023 to $732,843 for the year ended December 31, 2024, and the gross margin decreased by 4.4 percentage points from 58.7% for the year ended December 31, 2023 to 54.3% for the year ended December 31, 2024. The gross margin of seasonal products decreased by 3.1 percentage points from 61.6% for the year ended December 31, 2023 to 58.5% for the year ended December 31, 2024. As a result of consumption downgrade as mentioned above, we offered more sales promotions and price discounts to attract more customers, which resulted in a decrease in gross margin of seasonal products for the year ended December 31, 2024 as compared to last year. The gross margin of beverage products decreased by 7.0 percentage points from 50.5% for the year ended December 31, 2023 to 43.5% for the year ended December 31, 2024. Many famous coffee chain brands opened new stores in Xinjiang and offer products at very low prices to expand their market shares. With the increased competition we faced, we had to offer more sales promotions and price discounts to attract more customers. Therefore, our gross margin of beverage products decreased during the year ended December 31, 2024 as compared to fiscal year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from the U.S. increased by $652,196, or 5,071.5%, from $12,860 for the year ended December 31, 2024 to $665,056 for the year ended December 31, 2025. The increase was mainly attributable to the overall decrease in cost of revenue. The gross margin increased by 34.2 percentage points from 0.6% for the year ended December 31, 2024 to 34.8% for the year ended December 31, 2025. The gross loss of bakery products decreased by $93,044, or 66.1%, from gross loss of $140,681 for the year ended December 31, 2024 to gross loss of $47,637 for the year ended December 31, 2025, and the gross margin of bakery products increased by 8.8 percentage points, from (27.8)% for the year ended December 31, 2024 to (19.0)% for the year ended December 31, 2025. The increase in gross margin was mainly attributable to improved customer traffic forecasting, which better aligned with customers’ demand and minimized spoilage and expiration of short-shelf-life bakery products and excess raw materials during the year ended December 31, 2025. The gross profit of beverage products increased by $305,437, or 76.3%, from $400,069 for the year ended December 31, 2024 to $705,506 for the year ended December 31, 2025, and the gross margin of beverage products increased by 15.7 percentage points, from 31.3% for the year ended December 31, 2024 to 47.0% for the year ended December 31, 2025. The increased gross margin was primarily attributable to the increased revenue in the new cocktail products that have a higher gross margin. Meanwhile, the staff at the U.S. Stores have become more experienced in preparing cocktail products, and the spoilage and damage of raw materials was well controlled and decreased accordingly. Therefore, the gross margin of beverage products increased during the year ended December 31, 2025. The gross profit of eat-in services increased by $253,715, or 102.9%, from gross loss of $246,528 for the year ended December 31, 2024 to gross profit of $7,187 for the year ended December 31, 2025, and the gross margin of eat-in services increased by 86.1 percentage points from (81.6)% for the year ended December 31, 2024 to 4.5% for the year ended December 31, 2025. The increased gross margin was mainly attributable to the strategic shift in our food offering. The U.S. Stores transitioned from complex and elaborate dishes to streamlined and easy-to-prepare items, which reduced our labor costs. Meanwhile, we enhanced inventory management and minimized spoilage of excess raw materials during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from the U.S. decreased by $1,016,619, or 98.8%, from $1,029,479 for the year ended December 31, 2023 to $12,860 for the year ended December 31, 2024. The decrease was mainly attributable to the overall decrease in revenue. The gross margin decreased by 34.4 percentage points from 35.0% for the year ended December 31, 2023 to 0.6% for the year ended December 31, 2024. The gross profit of bakery products decreased by $176,087, or 497.3%, from gross profit of $35,406 for the year ended December 31, 2023 to gross loss of $140,681 for the year ended December 31, 2024, and the gross margin of bakery products decreased by 35.8 percentage points, from 8.0% for the year ended December 31, 2023 to (27.8)% for the year ended December 31, 2024. The decrease in gross margin was mainly attributable to Chanson 3rd Ave and Chanson Broadway. Revenue generated by Chanson 3rd Ave and Chanson Broadway were relatively low at the starting stage, and in addition, the customer visits were adversely affected as the building where Chanson 3rd Ave was located was under renovation in the year ended December 31, 2024. However, the fixed costs we incurred, such as rental expenses, salaries related expenses as well as other overhead expenses were much higher than the revenue earned, which led to negative gross margin from Chanson 3rd Ave and Chanson Broadway for the year ended December 31, 2024. Meanwhile, due to the increased competition as mentioned above, customer demand was harder to estimate and higher spoilage of inventory, excess raw materials and bakery products with short storage life was incurred. Together with the increased price of raw materials, the gross margin of bakery products significantly decreased in the year ended December 31, 2024. The gross profit of beverage products decreased by $409,872, or 50.6%, from $809,941 for the year ended December 31, 2023 to $400,069 for the year ended December 31, 2024, and the gross margin of beverage products decreased by 16.3 percentage points, from 47.6% for the year ended December 31, 2023 to 31.3% for the year ended December 31, 2024. The decreased gross margin was primarily attributable to the negative gross margin contributed from Chanson 3rd Ave and Chanson Broadway due to the reasons as mentioned above. Meanwhile, due to increased competition in our market, the U.S. Stores offered more promotions and discounts in order to make their beverage products more appealing to the customers. Therefore, the gross margin of beverage products decreased during the year ended December 31, 2024. The gross profit of eat-in services decreased by $430,660, or 233.9%, from $184,132 for the year ended December 31, 2023 to gross loss of $246,528 for the year ended December 31, 2024, and the gross margin of eat-in services decreased by 104.8 percentage points from 23.2% for the year ended December 31, 2023 to (81.6)% for the year ended December 31, 2024. The decreased gross margin was mainly due to the negative gross margin contributed from Chanson 23rd Street, Chanson 3rd Ave and Chanson Broadway, which resulted from higher spoilage of inventory as well as increased price of raw materials as mentioned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breakdown of our operating expenses for the years ended December 31, 2025, 2024 and 2023.</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35"/>
        <w:gridCol w:w="90"/>
        <w:gridCol w:w="170"/>
        <w:gridCol w:w="1130"/>
        <w:gridCol w:w="90"/>
        <w:gridCol w:w="90"/>
        <w:gridCol w:w="113"/>
        <w:gridCol w:w="747"/>
        <w:gridCol w:w="245"/>
        <w:gridCol w:w="90"/>
        <w:gridCol w:w="170"/>
        <w:gridCol w:w="1130"/>
        <w:gridCol w:w="90"/>
        <w:gridCol w:w="90"/>
        <w:gridCol w:w="113"/>
        <w:gridCol w:w="747"/>
        <w:gridCol w:w="245"/>
        <w:gridCol w:w="90"/>
        <w:gridCol w:w="170"/>
        <w:gridCol w:w="1130"/>
        <w:gridCol w:w="90"/>
        <w:gridCol w:w="90"/>
        <w:gridCol w:w="113"/>
        <w:gridCol w:w="747"/>
        <w:gridCol w:w="290"/>
      </w:tblGrid>
      <w:tr>
        <w:trPr/>
        <w:tc>
          <w:tcPr>
            <w:tcW w:w="2135" w:type="dxa"/>
            <w:tcBorders/>
            <w:vAlign w:val="center"/>
          </w:tcPr>
          <w:p>
            <w:pPr>
              <w:pStyle w:val="TableContents"/>
              <w:bidi w:val="0"/>
              <w:spacing w:before="0" w:after="283"/>
              <w:ind w:left="0" w:right="0" w:hanging="180"/>
              <w:jc w:val="center"/>
              <w:rPr/>
            </w:pPr>
            <w:r>
              <w:rPr/>
              <w:t> </w:t>
            </w:r>
          </w:p>
        </w:tc>
        <w:tc>
          <w:tcPr>
            <w:tcW w:w="90" w:type="dxa"/>
            <w:tcBorders/>
            <w:vAlign w:val="center"/>
          </w:tcPr>
          <w:p>
            <w:pPr>
              <w:pStyle w:val="TableContents"/>
              <w:bidi w:val="0"/>
              <w:spacing w:before="0" w:after="283"/>
              <w:jc w:val="left"/>
              <w:rPr/>
            </w:pPr>
            <w:r>
              <w:rPr/>
              <w:t> </w:t>
            </w:r>
          </w:p>
        </w:tc>
        <w:tc>
          <w:tcPr>
            <w:tcW w:w="7690" w:type="dxa"/>
            <w:gridSpan w:val="2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Years Ended December 31,</w:t>
            </w:r>
          </w:p>
        </w:tc>
        <w:tc>
          <w:tcPr>
            <w:tcW w:w="290" w:type="dxa"/>
            <w:tcBorders/>
            <w:vAlign w:val="center"/>
          </w:tcPr>
          <w:p>
            <w:pPr>
              <w:pStyle w:val="TableContents"/>
              <w:bidi w:val="0"/>
              <w:spacing w:before="0" w:after="283"/>
              <w:ind w:left="0" w:right="0" w:hanging="180"/>
              <w:jc w:val="left"/>
              <w:rPr/>
            </w:pPr>
            <w:r>
              <w:rPr/>
              <w:t> </w:t>
            </w:r>
          </w:p>
        </w:tc>
      </w:tr>
      <w:tr>
        <w:trPr/>
        <w:tc>
          <w:tcPr>
            <w:tcW w:w="213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34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4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4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290" w:type="dxa"/>
            <w:tcBorders/>
            <w:vAlign w:val="center"/>
          </w:tcPr>
          <w:p>
            <w:pPr>
              <w:pStyle w:val="TableContents"/>
              <w:bidi w:val="0"/>
              <w:spacing w:before="0" w:after="283"/>
              <w:ind w:left="0" w:right="0" w:hanging="180"/>
              <w:jc w:val="left"/>
              <w:rPr/>
            </w:pPr>
            <w:r>
              <w:rPr/>
              <w:t> </w:t>
            </w:r>
          </w:p>
        </w:tc>
      </w:tr>
      <w:tr>
        <w:trPr/>
        <w:tc>
          <w:tcPr>
            <w:tcW w:w="213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of</w:t>
              <w:br/>
              <w:t>revenue</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of</w:t>
              <w:br/>
              <w:t>revenue</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of</w:t>
              <w:br/>
              <w:t>revenue</w:t>
            </w:r>
          </w:p>
        </w:tc>
        <w:tc>
          <w:tcPr>
            <w:tcW w:w="290" w:type="dxa"/>
            <w:tcBorders/>
            <w:vAlign w:val="center"/>
          </w:tcPr>
          <w:p>
            <w:pPr>
              <w:pStyle w:val="TableContents"/>
              <w:bidi w:val="0"/>
              <w:spacing w:before="0" w:after="283"/>
              <w:ind w:left="0" w:right="0" w:hanging="180"/>
              <w:jc w:val="left"/>
              <w:rPr/>
            </w:pPr>
            <w:r>
              <w:rPr/>
              <w:t> </w:t>
            </w:r>
          </w:p>
        </w:tc>
      </w:tr>
      <w:tr>
        <w:trPr/>
        <w:tc>
          <w:tcPr>
            <w:tcW w:w="21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ind w:left="0" w:right="0" w:hanging="180"/>
              <w:jc w:val="left"/>
              <w:rPr/>
            </w:pPr>
            <w:r>
              <w:rPr/>
              <w:t> </w:t>
            </w:r>
          </w:p>
        </w:tc>
      </w:tr>
      <w:tr>
        <w:trPr/>
        <w:tc>
          <w:tcPr>
            <w:tcW w:w="213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revenue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18,268,894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74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18,227,537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74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17,252,662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74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290"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213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operating expenses: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747"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747"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747"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ind w:left="0" w:right="0" w:hanging="180"/>
              <w:jc w:val="left"/>
              <w:rPr/>
            </w:pPr>
            <w:r>
              <w:rPr/>
              <w:t> </w:t>
            </w:r>
          </w:p>
        </w:tc>
      </w:tr>
      <w:tr>
        <w:trPr/>
        <w:tc>
          <w:tcPr>
            <w:tcW w:w="21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Selling expenses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6,261,580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74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34.3</w:t>
            </w:r>
          </w:p>
        </w:tc>
        <w:tc>
          <w:tcPr>
            <w:tcW w:w="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4,757,279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74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26.1</w:t>
            </w:r>
          </w:p>
        </w:tc>
        <w:tc>
          <w:tcPr>
            <w:tcW w:w="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4,882,958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74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28.3</w:t>
            </w:r>
          </w:p>
        </w:tc>
        <w:tc>
          <w:tcPr>
            <w:tcW w:w="290"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21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 expenses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3,843,548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74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w:t>
            </w:r>
          </w:p>
        </w:tc>
        <w:tc>
          <w:tcPr>
            <w:tcW w:w="2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2,966,659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74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w:t>
            </w:r>
          </w:p>
        </w:tc>
        <w:tc>
          <w:tcPr>
            <w:tcW w:w="2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3,874,868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74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w:t>
            </w:r>
          </w:p>
        </w:tc>
        <w:tc>
          <w:tcPr>
            <w:tcW w:w="290" w:type="dxa"/>
            <w:tcBorders/>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21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expenses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10,105,128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74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55.3</w:t>
            </w:r>
          </w:p>
        </w:tc>
        <w:tc>
          <w:tcPr>
            <w:tcW w:w="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7,723,938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74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42.4</w:t>
            </w:r>
          </w:p>
        </w:tc>
        <w:tc>
          <w:tcPr>
            <w:tcW w:w="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8,757,826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74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50.8</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Selling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selling expenses primarily include payroll and sales commission expenses paid to our sales and marketing personnel, store operating expenses, store rental, store decoration and maintenance expenses, utility expenses, and other expenses related to sales activities. Our selling expenses accounted for 34.3%, 26.1% and 28.3%, of our revenue for the years ended December 31, 2025, 2024 and 2023,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expenses increased by $1,504,301, or 31.6%, from $4,757,279 for the year ended December 31, 2024 to $6,261,580 for the year ended December 31, 2025. The increase was primarily attributable to (i) an increase in rental expenses, renovation expenses and electricity expenses of $0.8 million, as nine stores have been opened in the fiscal year 2025; (ii) an increase in salaries and welfare benefit expenses of $0.6 million, as the China Stores hired additional sales staff for the new stores; and (iii) an increase in online platform service fees of $0.1 million, resulting from the increased online sales on the third-party platform during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expenses decreased by $125,679, or 2.6%, from $4,882,958 for the year ended December 31, 2023 to $4,757,279 for the year ended December 31, 2024. The decrease was mainly due to the decreased selling expenses of approximately $245,000 incurred by Chanson Greenwich, as Chanson Greenwich was closed in the second half of fiscal year 2023. The decrease was also due to the decreased salary and social security expenses of approximately $293,000 from the PRC Stores as a result of streamlining of headcount to improve our operating efficiency during the year ended December 31, 2024. The decrease in selling expenses was partially offset by (i) the increased selling expenses of approximately $140,000 generated by the Chanson 3rd Ave and Chanson Broadway, the new stores opened in March 2023 and July 2023, respectively; (ii) the increased rent expense of approximately $82,000, as we opened twenty stores in the year ended December 31, 2024; and (iii) an increase in online platform service fees of approximately $135,000, resulting from the increased online sales on the third-party platform during the year ended December 31, 2024.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general and administrative expenses primarily consist of administrative employee salaries, welfare and insurance expenses, depreciation, and professional service expenses. Our general and administrative expenses accounted for 21.0%, 16.3% and 22.5% of our revenue for the years ended December 31, 2025, 2024 and 2023,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increased by $876,889, or 29.6%, from $2,966,659 for the year ended December 31, 2024 to $3,843,548 for the year ended December 31, 2025. The increase was primarily due to an increase in allowance for credit losses of $0.5 million. On April 3, 2023, we entered a loan agreement with Liberty Asset Management Capital Limited (the “Borrower”) to lend the Borrower $2.0 million for two years, with a maturity date of April 3, 2025. Due to the Borrower’s financial distress, we collected $1.5 million upon maturity of the loan, and the remaining balance of 0.5 million was charged off and recognized as the bad debt written-off. The increase in general and administrative expenses was also attributable to the increased audit, legal and professional service fees due to issuance of additional equity security during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decreased by $908,209, or 23.4%, from $3,874,868 for the year ended December 31, 2023 to $2,966,659 for the year ended December 31, 2024. The decrease was primarily due to the decreased general and administrative expenses of approximately $659,000 incurred by Chanson Greenwich as result of its closure as mentioned above. The decrease was also attributable to the decreased fees paid for professional services such as financial consulting services in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Expense,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interest expense increased by $137,399, or 269.8%, from net interest expense of $50,928 for the year ended December 31, 2024 to net interest expense of $188,327 for the year ended December 31, 2025. The increase in net interest expense was primarily attributable to the increased interest expense, which was in line with the increased weighted average loan balance during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other income, net primarily consists of gain or loss from disposal of fixed assets, rental income and government subsidies.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 increased by $184,475, or 26.8%, from $687,492 for the year ended December 31, 2024 to $871,967 for the year ended December 31, 2025. The increase was primarily attributable to gains recognized from the early termination or modification of rental agreements, partially offset by a decrease in gain on disposal of 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 significantly increased by $494,067, or 255.4%, from $193,425 for the year ended December 31, 2023 to $687,492 for the year ended December 31, 2024. During the year ended December 31, 2023, the Company entered into a cooperation agreement with a third party, and granted the third party a license to use the Chanson Greenwich’s store for events from August 1, 2023 to July 31, 2024, which resulted in seven months of net other income recorded during the year ended December 31, 2024, compared to five months of net other income during the year ended December 31, 2023. The increase was also attributable to a gain of approximately $153,000 from the disposal of property and equipment by Chanson Greenwich during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Income from Long Term Debt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from long term debt investment increased by $741,235, or 102.4%, from $723,945 for the year ended December 31, 2024 to $1,465,180 for the year ended December 31, 2025. Income from long term debt investments increased by $189,370, or 35.4%, from $534,575 for the year ended December 31, 2023 to $723,945 for the year ended December 31, 2024. The increase was primarily attributable to the following long-term debt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2023, the Company entered into a five-year agreement with Worthy Credit Limited (“Worthy Credit”), pursuant to which, the Company made payment of $6.0 million to Worthy Credit, and authorized Worthy Credit to invest the Company’s funds to provide loan services for housing mortgage applicants, with rates of return of 12% per annum. The Company recorded interest income of $720,000, $723,945 and $534,575 for the years ended December 31, 2025, 2024 and 2023,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2025, the Company entered into a two-year agreement with Shenzhen Yongdahui Trading Co., Ltd. (“Yongdahui”), pursuant to which, the Company made payment of approximately $16.5 million (approximately RMB 115.9 million) to invest in Yongdahui with rates of return of 6% per annum. The Company recorded investment income of $483,810, $nil and $nil for the years ended December 31, 2025, 2024 and 2023,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6, 2025, the Company entered into a two-year agreement with Beijing Zhixuan Tiangong Technology Development Co., Ltd. (“Zhixuan Tiangong”), pursuant to which, the Company made payment of $30.0 million to invest in Zhixuan Tiangong with rates of return of 6% per annum. The Company recorded investment income of $261,370, $nil and $nil for the years ended December 31, 2025, 2024 and 2023,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 for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provision for income taxes was $74,155, $74,604 and $119,416 for the years ended December 31, 2025, 2024 and 2023, respectively. Under the PRC Enterprise Income Tax Law (the “EIT Law”), domestic enterprises and foreign investment enterprises are usually subject to a unified 25% EIT rate while preferential tax rates, tax holidays, or exemptions may be granted on a case-by-case basis. The Company’s subsidiary, Xinjiang United Family and its branch offices were incorporated in the PRC and subject to 25% income tax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association between Xinjiang United Family and the VIEs is known as the “United Family Group” or “UFG.” The UFG entities are individually-owned businesses, which are not subject to the EIT Law of the PRC, but the Individual Income Tax. The Measures for Individual Income Tax Calculation of Individual Industrial and Commercial Households, or the “Measures,” were adopted by the State Administration of Taxation on December 19, 2014 and promulgated on December 27, 2014, and amended on June 15, 2018. According to Article 7 of the Measures, for the income from production and operation of individually-owned businesses, the amount of taxable income shall be the balance of the total income of each tax year after deducting costs, expenses, taxes, losses and other expenditures, and allowable compensation for losses in previous years. Income tax for an individually-owned business can generally be assessed on an actual basis or a deemed basis, which the UFG entities apply. The deemed basis adopted by the UFG entities includes two types: taxation based on fixed amount (“Fixed Amount Method”) and taxation based on fixed tax rate (“Fixed Rate Method”), both methods are as determined by the local tax authority on a case-by-case basis. Therefore, income tax for the UFG entities is levied either as a fixed amount pursuant to Fixed Amount Method, or at an industry-specific fixed rate pursuant to the Fixed Rate Method. According to Announcement No. 12 [2021], Announcement No. 6 [2023] and Announcement No. 12 [2023] of the State Taxation Administration, the income tax payable by the UFG entities shall be halved during the period from January 1, 2021 to December 31, 2027. For the years ended December 31, 2025, 2024 and 2023, 17, 13 and 13 of these UFG entities paid income tax, respectively. The rest of these UFG entities were exempted from paying income tax. As of December 31, 2025, for the tax years ended December 31, 2021 through December 31, 2025 the Company’s UFG entities remained open for statutory examination by PRC tax authorities. In addition, the TNI and tax rate of the Company’s UFG entities are subject to periodical reassessment by the local tax authority. If the local tax authority determined that income tax for the UFG Entities should be levied at a higher TNI or higher tax rate, the UFG Entities would be obligated to pay additional income tax. Along with the continuing growth of business, we expect that the tax rates of these UFG Entities are likely to increase in the future in the annual assessment by the local tax authority based on past performance. If these UFG Entities change their forms of organization from individually-owned businesses to other corporate forms (such as limited liability company) as a result of their business development requirement, they will no longer enjoy the favorable tax rates and will be subject to the EIT Law, though we currently do not expect their forms of organization to change in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2024 and 2023, the tax saving as the result of the favorable tax rates and tax exemption amounted to $141,611, $480,781 and $339,626, respectively, and per share effect of the favorable tax rate and tax exemption was $0.03, $2.34 and $2.35,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Net Income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we reported net income of $187,540, $756,285 and $33,588 for the year ended December 31, 2025, 2024 and 2023,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Factors that Affect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following key factors may affect our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operating entities’ business is affected by changes in consumer preferences and discretionary spending.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entities’ success depends, in part, upon the popularity of their bakery products and their ability to develop new bakery products that appeal to consumers. Shifts in consumer preferences away from their bakery stores or their product offerings and mix, their inability to develop new products that appeal to consumers could harm the operating entities’ business. The operating entities’ success depends in large part on their customers’ continued belief that food made with high-quality ingredients, including selected proteins raised without antibiotics, their artisan breads, cakes, pastries, and other bakery treats made without artificial preservatives, flavors, sweeteners, or colors from artificial sources are worth the prices charged at the operating entities’ bakery stores relative to the lower prices offered by some of their competitors. The operating entities’ inability to successfully educate customers about the quality of their bakery products or their customers’ rejection of the operating entities’ pricing approach could result in decreased demand for their products or require the operating entities to change their pricing, marketing, or promotional strategies, which could materially and adversely affect our consolidated financial results or the brand identity that the operating entities have created. In addition, the operating entities’ success depends to a significant extent on discretionary consumer spending, which is influenced by general economic conditions and the availability of discretionary income. Accordingly, the operating entities may experience declines in sales during economic downturns or during periods of uncertainty. Any material decline in the amount of discretionary spending could have a material adverse effect on the operating entities’ sales, results of operations, business,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operating entities’ revenue and growth could be adversely affected if their comparable store sales are less than expected.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entities’ success depends on increasing comparable store sales. To increase sales and profits, and therefore comparable store sales growth, the operating entities must focus on delivering value and generating customer excitement by strengthening opportunistic purchasing, optimizing inventory management, maintaining strong store conditions, and effectively marketing current products and new product offerings. The operating entities may not be able to maintain or improve the levels of comparable store sales that they have experienced in the past, and the operating entities’ comparable store sales growth is a significant driver of their profitability and overall business results. In addition, competition and pricing pressures from competitors may materially adversely impact the operating entities’ operating margins. The operating entities’ comparable store sales growth could be lower than their historical average or their future target for many reasons, including general economic conditions, operational performance, price inflation or deflation, new competitive entrants near their stores, price changes in response to competitive factors, the impact of new stores entering the comparable store base, possible supply shortages or other operational disruptions, the number and dollar amount of customer transactions in their stores, and their ability to provide product or service offerings that generate new and repeat visits to their stores. Opening new stores in the operating entities’ established markets may result in inadvertent oversaturation, temporarily or permanently diverting customers and sales from their existing stores to new stores and reduce comparable store sales, thus adversely affecting their overall financial performance. These factors may cause the operating entities’ comparable store sales results to be materially lower than in recent periods, which could harm their profitability and business. Changes in their average store sales or their inability to increase their average store sales could cause their operating results to vary adversely from expectations, which could adversely affect their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Fluctuations in various food and supply costs, including dairy, could adversely affect the operating entities’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Supplies and prices of the various ingredient materials that are used to prepare the operating entities’ bakery products (including flour, milk, sugar, and eggs) can be affected by a variety of factors, such as weather, seasonal fluctuations, demand, politics, and economics factors, and such prices may fluctuate. An increase in pricing of any ingredient that is used in the operating entities’ bakery products could result in an increase in costs from their suppliers, and the operating entities may not be able to increase prices to cover increased costs which would have an adverse effect on their operating results and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geographic concentration of the operating entities’ stores primarily in Xinjiang and New York City subjects the operating entities to an increased risk of loss of revenue from events beyond their control or conditions affecting that region.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the PRC Stores are exclusively located in Xinjiang. In addition, the U.S. Stores’ current operations are limited to New York City. As a result, they are particularly susceptible to adverse trends, severe weather, competition, and economic conditions in these areas. Any unforeseen events or circumstances that negatively affect these areas could materially adversely affect the operating entities’ sales and profitability. These factors include, among other things, epidemics, changes in demographics, population and employee bases, wage increases, changes in economic conditions, severe weather conditions, and climate change. Such conditions may result in reduced customer traffic and spending in the operating entities’ stores, physical damage to their stores, loss of inventory, closure of one or more of their stores, inadequate workforce in their markets, temporary disruption in the supply of products, delays in the delivery of goods to their stores, increased expenses, and a reduction in the availability of products in their stores. Any of these factors may disrupt the operating entities’ business and materially adversely affect their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operating entities are unable to compete successfully, their financial condition and results of operations may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industry in which the operating entities conduct their business is intensely competitive. The operating entities’ bakery stores compete with well-established national, regional, and locally-owned traditional bakeries, cafés, and other companies providing bakery products. Additionally, the operating entities also compete with certain quick-service restaurants, specialty food stores, supermarkets, and convenience stores. The principal factors on which they compete are taste, quality, prices of products offered, customer service, atmosphere, location, convenience, and overall customer experience. The operating entities also compete for retail space in desirable locations. Many competitors or potential competitors have substantially greater financial and other resources, which may allow them to react more quickly to changes in pricing, marketing, and other changing tastes of consumers. In the event that the operating entities cannot effectively compete on a continuing basis or competitive pressures arise, such inability to compete or competitive pressures could have a material adverse effect on their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 2023, we closed our initial public offering (“IPO”) of 42,375 Class A Ordinary Shares at a public offering price of $320.00 per Class A Ordinary Share for the total gross proceeds of $13.6 million before deducting underwriting discounts and other related expenses. Net proceeds of our IPO were approximately $12.0 million. The number of Class A Ordinary Shares and the per share price were adjusted to reflect the 1-for-80 reverse share split, which became effective on August 18, 2025 (the “Reverse Share Split”). Our Class A Ordinary Shares began trading on the Nasdaq Capital Market under the ticker symbol “CHSN” on March 30,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13, 2024, we entered into a securities purchase agreement with certain investors identified therein for a best efforts follow-on public offering of (i) 112,253 Class A Ordinary Shares and (ii) 112,253 common warrants to purchase 112,253 Class A Ordinary Shares, at an exercise price of $77.76 per share, exercisable within one year anniversary of the closing of the offering. The Class A Ordinary Shares and common warrants were sold at a combined public offering price of $64.80 per share and accompanying warrants. The numbers of Class A Ordinary Shares and the per share prices were adjusted to reflect the Reverse Share Split. The offering was closed on September 17, 2024, and we received aggregate gross proceeds of $7.3 million from the offering, before deducting offering expenses and commissions, excluding the exercise of any common warrants. During the year ended December 31, 2024, 73,677 Class A Ordinary Shares were issued as all the common warrants were exercised on a cashless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13, 2025, we priced a best-efforts public offering for the sale of units as described below. The offering was comprised of 200,000 units (each a “Unit”), consisting of (i) one Class A Ordinary Share, or in lieu thereof, a pre-funded warrant (each a “Pre-Funded Warrant”); (ii) one series A warrant to purchase one Class A Ordinary Share (each a “Series A Warrant”); and (iii) one series B warrant to purchase one Class A Ordinary Share (each a “Series B Warrant”). The public offering price of the Units was $40.00 per Unit. The Pre-Funded Warrants will be immediately exercisable (subject to the beneficial ownership limitation) and may be exercised at any time until all of the Pre-Funded Warrants are exercised in full. Each of the Series A Warrants and the Series B Warrants would have an exercise price of $42.00 per Class A Ordinary Share and be exercisable beginning on the date of the issuance date and ending on the two and half anniversary of the issuance date. Additionally, holders of Series B Warrants may affect a “zero exercise price option,” under which up to 937,500 Class A Ordinary Shares may be issuable in aggregate under all Series B Warrants. We registered up to 1,337,500 Class A Ordinary Shares underlying the Pre-Funded Warrants, the Series A Warrants and the Series B Warrants. The numbers of Class A Ordinary Shares and the per share prices were adjusted to reflect the Reverse Share Split. The offering was closed on June 16, 2025, and we received aggregate gross proceeds of $8.0 million from the offering, before deducting placement agent fees and other estimated expenses payable by us, excluding the exercise of any warrant offered. During the year ended December 31, 2025, 62,500 Class A Ordinary Shares were directly issued; 137,500 Class A Ordinary Shares were issued upon the exercise of all Pre-Funded Warrants; and 937,500 Class A Ordinary Shares were issued upon on the exercise of all Series B Warrants at zero exercise price option. No Series A Warrants had been exercised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5, 2025, we entered into a securities purchase agreement with certain investors for a private placement offering of 37,500,000 Class A Ordinary Shares at the subscription price of US$0.80 per Class A Ordinary Share. All of the Class A Ordinary Shares was issued on November 18, 2025, and we received aggregate gross proceeds of $30.0 million from the offering, before deducting offering expenses and commissions.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$8,644,357 in cash and cash equivalents as compared to $12,102,763 as of December 31, 2024. As of December 31, 2025, we had $1,738,052 accounts receivable balance, approximately 33.3%, or $0.6 million, of which has been subsequently collected. The remaining balance is expected to be collected before December 31, 2026. The collection of such receivables made cash available for use in our operations as working capital, if necessary.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also borrowed approximately $0.4 million short-term bank loans and $5.0 million long-term bank loans, respectively. We expect that we will be able to renew all of the existing bank loans upon their maturity based on our past experience and credit history.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nine bakery stores were opened. We currently plan to open another ten stores, with a total budget of approximately RMB5.0 million (approximately $0.7 million) in fiscal year 2026. We plan to use our cash on hand, cash flows from operations and equity financing from outside investors to fund the new stores.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a negative working capital of approximately $2.9 million, including deferred revenue of approximately $7.7 million, which was reported as current liability, but will not require cash payment in the future. We expect to spend about $3.1 million when we produce and sell the products and realize the deferred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assessing our liquidity, our management monitors and analyzes our cash on hand, our ability to generate sufficient revenue sources in the future, and our operating and capital expenditure commitments. As of December 31, 2025, we had cash and cash equivalents of approximately $8.6 million. We believe that we would be able to make additional borrowings from banks based on past experience and our good credit history when necessary. In addition, we will further implement initiatives to control costs and improve our operating efficiency in fiscal year 2026. Therefore, revenue and net income are expected to increase in fiscal year 2026 as compared to fiscal year 2025. Furthermore, our controlling shareholder, Mr. Gang Li, has made pledges to provide continuous financial support to our Company for at least 12 months from the issuance of our consolidated financial statements as of and for the year ended December 31, 2025. In order to fully implement its business plan and sustain continued growth, the Company may also seek equity financing from outside investors when necessary. We believe our cash and cash equivalents on hand, our operating cash flows, the available bank facilities, the continuous support from our shareholder, the proceeds we received from the IPO and other equity financing will be sufficient to meet our working capital needs over the next 12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our main operations are conducted in China and a large portion of our revenue, expenses, cash and cash equivalents are denominated in RMB. Our holding company, however, may need dividends and other distributions on equity from our PRC subsidiary and the VIEs to satisfy its liquidity requirements. Although dividends may be freely remitted in or out of China in RMB or foreign currency according to the PRC regulations, our PRC subsidiary and the VIEs are restricted in their ability to transfer a portion of their net assets, equivalent to their reserves and their share capital, to the holding company in the form of loans, advances, or cash dividends. As of December 31, 2025 and 2024, the total restricted net assets equivalent amounted to $6,382,727 and $3,516,301,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for the Years Ended December 31, 2025, 2024 and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summary of our cash flows for the periods indicated:</w:t>
      </w:r>
    </w:p>
    <w:p>
      <w:pPr>
        <w:pStyle w:val="TextBody"/>
        <w:bidi w:val="0"/>
        <w:spacing w:before="0" w:after="0"/>
        <w:ind w:left="0" w:right="0" w:hanging="0"/>
        <w:jc w:val="left"/>
        <w:rPr>
          <w:caps w:val="false"/>
          <w:smallCaps w:val="false"/>
        </w:rPr>
      </w:pPr>
      <w:r>
        <w:rPr>
          <w:caps w:val="false"/>
          <w:smallCaps w:val="false"/>
        </w:rPr>
        <w:t> </w:t>
      </w:r>
    </w:p>
    <w:tbl>
      <w:tblPr>
        <w:tblW w:w="9725" w:type="dxa"/>
        <w:jc w:val="left"/>
        <w:tblInd w:w="0" w:type="dxa"/>
        <w:tblLayout w:type="fixed"/>
        <w:tblCellMar>
          <w:top w:w="0" w:type="dxa"/>
          <w:left w:w="0" w:type="dxa"/>
          <w:bottom w:w="0" w:type="dxa"/>
          <w:right w:w="0" w:type="dxa"/>
        </w:tblCellMar>
      </w:tblPr>
      <w:tblGrid>
        <w:gridCol w:w="4985"/>
        <w:gridCol w:w="90"/>
        <w:gridCol w:w="170"/>
        <w:gridCol w:w="1205"/>
        <w:gridCol w:w="125"/>
        <w:gridCol w:w="90"/>
        <w:gridCol w:w="170"/>
        <w:gridCol w:w="1130"/>
        <w:gridCol w:w="125"/>
        <w:gridCol w:w="90"/>
        <w:gridCol w:w="170"/>
        <w:gridCol w:w="1205"/>
        <w:gridCol w:w="170"/>
      </w:tblGrid>
      <w:tr>
        <w:trPr/>
        <w:tc>
          <w:tcPr>
            <w:tcW w:w="4985" w:type="dxa"/>
            <w:tcBorders/>
            <w:vAlign w:val="center"/>
          </w:tcPr>
          <w:p>
            <w:pPr>
              <w:pStyle w:val="TableContents"/>
              <w:bidi w:val="0"/>
              <w:spacing w:before="0" w:after="283"/>
              <w:ind w:left="0" w:right="0" w:hanging="180"/>
              <w:jc w:val="center"/>
              <w:rPr/>
            </w:pPr>
            <w:r>
              <w:rPr/>
              <w:t> </w:t>
            </w:r>
          </w:p>
        </w:tc>
        <w:tc>
          <w:tcPr>
            <w:tcW w:w="90" w:type="dxa"/>
            <w:tcBorders/>
            <w:vAlign w:val="center"/>
          </w:tcPr>
          <w:p>
            <w:pPr>
              <w:pStyle w:val="TableContents"/>
              <w:bidi w:val="0"/>
              <w:spacing w:before="0" w:after="283"/>
              <w:jc w:val="left"/>
              <w:rPr/>
            </w:pPr>
            <w:r>
              <w:rPr/>
              <w:t> </w:t>
            </w:r>
          </w:p>
        </w:tc>
        <w:tc>
          <w:tcPr>
            <w:tcW w:w="4480"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Years Ended December 31,</w:t>
            </w:r>
          </w:p>
        </w:tc>
        <w:tc>
          <w:tcPr>
            <w:tcW w:w="170" w:type="dxa"/>
            <w:tcBorders/>
            <w:vAlign w:val="center"/>
          </w:tcPr>
          <w:p>
            <w:pPr>
              <w:pStyle w:val="TableContents"/>
              <w:bidi w:val="0"/>
              <w:spacing w:before="0" w:after="283"/>
              <w:ind w:left="0" w:right="0" w:hanging="180"/>
              <w:jc w:val="left"/>
              <w:rPr/>
            </w:pPr>
            <w:r>
              <w:rPr/>
              <w:t> </w:t>
            </w:r>
          </w:p>
        </w:tc>
      </w:tr>
      <w:tr>
        <w:trPr/>
        <w:tc>
          <w:tcPr>
            <w:tcW w:w="49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170" w:type="dxa"/>
            <w:tcBorders/>
            <w:vAlign w:val="center"/>
          </w:tcPr>
          <w:p>
            <w:pPr>
              <w:pStyle w:val="TableContents"/>
              <w:bidi w:val="0"/>
              <w:spacing w:before="0" w:after="283"/>
              <w:ind w:left="0" w:right="0" w:hanging="180"/>
              <w:jc w:val="left"/>
              <w:rPr/>
            </w:pPr>
            <w:r>
              <w:rPr/>
              <w:t> </w:t>
            </w:r>
          </w:p>
        </w:tc>
      </w:tr>
      <w:tr>
        <w:trPr/>
        <w:tc>
          <w:tcPr>
            <w:tcW w:w="49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provided by (used in) operating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2,864,867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3,538,038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(2,953,853</w:t>
            </w:r>
          </w:p>
        </w:tc>
        <w:tc>
          <w:tcPr>
            <w:tcW w:w="170"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49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cash (used in) provided by investing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(45,819,452</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1,909,460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(10,463,416</w:t>
            </w:r>
          </w:p>
        </w:tc>
        <w:tc>
          <w:tcPr>
            <w:tcW w:w="170" w:type="dxa"/>
            <w:tcBorders/>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498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cash provided by financing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39,085,131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5,350,746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12,059,025</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49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Effect of exchange rate change on cash</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411,048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(176,783</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(75,924</w:t>
            </w:r>
          </w:p>
        </w:tc>
        <w:tc>
          <w:tcPr>
            <w:tcW w:w="170" w:type="dxa"/>
            <w:tcBorders/>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498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(decrease) increase in cash and cash equivalents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(3,458,406</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10,621,461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(1,434,168</w:t>
            </w:r>
          </w:p>
        </w:tc>
        <w:tc>
          <w:tcPr>
            <w:tcW w:w="170"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49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Cash and cash equivalents at beginning of year</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12,102,763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1,481,302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2,915,470</w:t>
            </w:r>
          </w:p>
        </w:tc>
        <w:tc>
          <w:tcPr>
            <w:tcW w:w="170" w:type="dxa"/>
            <w:tcBorders/>
            <w:vAlign w:val="center"/>
          </w:tcPr>
          <w:p>
            <w:pPr>
              <w:pStyle w:val="TableContents"/>
              <w:bidi w:val="0"/>
              <w:spacing w:before="0" w:after="283"/>
              <w:ind w:left="0" w:right="0" w:hanging="180"/>
              <w:jc w:val="left"/>
              <w:rPr/>
            </w:pPr>
            <w:r>
              <w:rPr/>
              <w:t> </w:t>
            </w:r>
          </w:p>
        </w:tc>
      </w:tr>
      <w:tr>
        <w:trPr/>
        <w:tc>
          <w:tcPr>
            <w:tcW w:w="498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Cash and cash equivalents at end of year</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8,644,357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12,102,763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1,481,302</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operating activities was $2,864,867 for the year ended December 31, 2025, mainly derived from net income of $187,540 for the year, and net changes in our operating assets and liabilities, which mainly included a decrease in prepaid expenses and other current assets of $1,665,322 due to the decrease in other receivable from a third party for using the U.S. store for events, as well as decreased advance to suppliers and lower prepaid expenses. Accounts payable increased by $1,235,783 due to the timing of supplier invoicing and settlement during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operating activities was $3,538,038 for the year ended December 31, 2024, mainly derived from net income of $756,285 for the year, and net changes in our operating assets and liabilities, which mainly included a decrease in prepaid expenses and other current assets of $2,552,891 due to the decreased other receivable from a third party for using the U.S. store for events. The decrease in prepaid expenses and other current assets was also attributable to the decreased advance to suppliers resulting from cancellation of our cooperation with certain suppliers, which resulting in the refund of prepayments. Accounts receivable decreased by $959,859 due to the enhanced collection efforts for accounts receivable during the year ended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$2,953,853 for the year ended December 31, 2023, mainly derived from net income of $33,588 for the year, and net changes in our operating assets and liabilities, which mainly included an increase in prepaid expenses and other current assets of $3,573,002 due to the increased advance to suppliers as we made more advance payments paid to suppliers for purchases of raw materials for bakery products as a result of the increased revenue during the year ended December 31, 2023. The increase in prepaid expenses and other current assets was also attributable to the increased prepaid expenses as a result of the increased prepaid rental expenses and other miscellaneous expenses, generated by the newly opened stores in the PRC.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amounted to $45,819,452 for the year ended December 31, 2025, which primarily consisted of payment made for long term debt investments of $46,126,988, purchase of property and equipment of $2,396,274, and partially offset by the collection of interest income from long term debt investments of $1,203,810 and repayment from loans to third parties of $1,500,000.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investing activities amounted to $1,909,460 for the year ended December 31, 2024, which primarily consisted of repayment from loans to third parties of $907,704, repayment of interest income from long term debt investment of $899,507, and refund of prepayment for the product development of $650,000, and which was partially offset by the purchase of property and equipment of $583,313.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amounted to $10,463,416 for the year ended December 31, 2023, which primarily consisted of payment made for long term debt investment of $6,000,000, payments made for loans to third parties of $3,900,000, prepayments for the software, equipment and product development of $1,190,000, purchase of property and equipment of $773,964 and purchase of intangible assets of $150,000, which was partially offset by the repayment from loans to third parties of $1,150,104.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$39,085,131 for the year ended December 31, 2025, which primarily consisted of proceeds from sales of ordinary shares of $30,000,000, proceeds from sales of the Equity Security Units of $6,910,134, and proceeds from long-term bank loans of $5,036,477, which was partially offset by the repayments of short-term bank loans of $1,530,421 and repayment of funds provided by a shareholder of $1,595,404.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$5,350,746 for the year ended December 31, 2024, which primarily consisted of proceeds from sales of ordinary shares of $5,938,994, proceeds from short-term bank loans of $2,225,715, and funds provided by a shareholder of $524,610, which was partially offset by the repayments of short-term bank loans of $3,338,573.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$12,059,025 for the year ended December 31, 2023, which primarily consisted of gross proceeds from IPO of $13,560,000 and proceeds from short-term bank loans of $2,685,588, which was partially offset by costs disbursed from IPO proceeds of $1,529,631 and repayment of funds provided by a shareholder of $1,892,423.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Contractual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our contractual obligations were as follows:</w:t>
      </w:r>
    </w:p>
    <w:p>
      <w:pPr>
        <w:pStyle w:val="TextBody"/>
        <w:bidi w:val="0"/>
        <w:spacing w:before="0" w:after="0"/>
        <w:ind w:left="0" w:right="0" w:hanging="0"/>
        <w:jc w:val="both"/>
        <w:rPr>
          <w:caps w:val="false"/>
          <w:smallCaps w:val="false"/>
        </w:rPr>
      </w:pPr>
      <w:r>
        <w:rPr>
          <w:caps w:val="false"/>
          <w:smallCaps w:val="false"/>
        </w:rPr>
        <w:t> </w:t>
      </w:r>
    </w:p>
    <w:tbl>
      <w:tblPr>
        <w:tblW w:w="10800" w:type="dxa"/>
        <w:jc w:val="left"/>
        <w:tblInd w:w="0" w:type="dxa"/>
        <w:tblLayout w:type="fixed"/>
        <w:tblCellMar>
          <w:top w:w="0" w:type="dxa"/>
          <w:left w:w="0" w:type="dxa"/>
          <w:bottom w:w="28" w:type="dxa"/>
          <w:right w:w="0" w:type="dxa"/>
        </w:tblCellMar>
      </w:tblPr>
      <w:tblGrid>
        <w:gridCol w:w="1295"/>
        <w:gridCol w:w="90"/>
        <w:gridCol w:w="170"/>
        <w:gridCol w:w="1130"/>
        <w:gridCol w:w="90"/>
        <w:gridCol w:w="90"/>
        <w:gridCol w:w="170"/>
        <w:gridCol w:w="1010"/>
        <w:gridCol w:w="90"/>
        <w:gridCol w:w="90"/>
        <w:gridCol w:w="170"/>
        <w:gridCol w:w="1010"/>
        <w:gridCol w:w="90"/>
        <w:gridCol w:w="90"/>
        <w:gridCol w:w="170"/>
        <w:gridCol w:w="1010"/>
        <w:gridCol w:w="90"/>
        <w:gridCol w:w="90"/>
        <w:gridCol w:w="170"/>
        <w:gridCol w:w="1010"/>
        <w:gridCol w:w="90"/>
        <w:gridCol w:w="90"/>
        <w:gridCol w:w="170"/>
        <w:gridCol w:w="830"/>
        <w:gridCol w:w="90"/>
        <w:gridCol w:w="90"/>
        <w:gridCol w:w="170"/>
        <w:gridCol w:w="1010"/>
        <w:gridCol w:w="135"/>
      </w:tblGrid>
      <w:tr>
        <w:trPr/>
        <w:tc>
          <w:tcPr>
            <w:tcW w:w="1295" w:type="dxa"/>
            <w:tcBorders>
              <w:bottom w:val="single" w:sz="12"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Contractual obligations</w:t>
            </w:r>
          </w:p>
        </w:tc>
        <w:tc>
          <w:tcPr>
            <w:tcW w:w="90" w:type="dxa"/>
            <w:tcBorders/>
            <w:tcMar>
              <w:bottom w:w="0" w:type="dxa"/>
            </w:tcMar>
            <w:vAlign w:val="center"/>
          </w:tcPr>
          <w:p>
            <w:pPr>
              <w:pStyle w:val="TableContents"/>
              <w:bidi w:val="0"/>
              <w:spacing w:before="0" w:after="283"/>
              <w:jc w:val="left"/>
              <w:rPr/>
            </w:pPr>
            <w:r>
              <w:rPr/>
              <w:t> </w:t>
            </w:r>
          </w:p>
        </w:tc>
        <w:tc>
          <w:tcPr>
            <w:tcW w:w="130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8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Less than</w:t>
              <w:br/>
              <w:t>1 year</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8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1-2 years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8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2-3 years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8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3-4 years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0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4-5 years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8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Thereafter</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12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Short-term bank loans (1)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432,263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432,263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29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Long-term bank loans (2)</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5,343,905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569,530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2,988,631</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1,785,744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12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Future lease payments (3)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8,901,042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2,127,314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1,795,292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1,427,915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1,133,806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83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962,447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1,454,268</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29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bottom w:val="double" w:sz="10"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14,677,210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0" w:type="dxa"/>
            <w:tcBorders>
              <w:bottom w:val="double" w:sz="10"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3,129,107</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0" w:type="dxa"/>
            <w:tcBorders>
              <w:bottom w:val="double" w:sz="10"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4,783,923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0" w:type="dxa"/>
            <w:tcBorders>
              <w:bottom w:val="double" w:sz="10"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3,213,659</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0" w:type="dxa"/>
            <w:tcBorders>
              <w:bottom w:val="double" w:sz="10"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1,133,806</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bottom w:val="double" w:sz="10"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962,447</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0" w:type="dxa"/>
            <w:tcBorders>
              <w:bottom w:val="double" w:sz="10"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1,454,268</w:t>
            </w:r>
          </w:p>
        </w:tc>
        <w:tc>
          <w:tcPr>
            <w:tcW w:w="13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6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of short-term bank loans: as of December 31, 2025, our contractual obligation to repay the outstanding principal balance and interest payable of short-term bank loans totaled $432,263 and related to the following bank loans: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24, 2025, Xinjiang United Family entered into another loan agreement with Huaxia Bank to borrow RMB3.0 million ($428,844) as working capital for a year, with a maturity date of March 24, 2026. This loan bears a fixed interest rate of 3.5% per annum. The loan was guaranteed by Ms. Baolin Wang, the legal representative of Xinjiang United Family, and Urumqi Meihe Cancer Rehabilitation Hospital Co., Ltd, a related party that is controlled by the family member of Mr. Gang Li, the Chairman of the Company. The loan was repaid in full upon maturity.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6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of long-term bank loans: as of December 31, 2025, our contractual obligation to repay the outstanding principal balance and interest payable of long-term bank loans totaled $5,343,905 and related to the following bank loans: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22, 2025, Xinjiang United Family entered into a loan agreement with Tianshan Rural Commercial Bank to borrow RMB12.0 million ($1,715,376) as working capital for three years, with a maturity date of January 19, 2028. The loan bears a fixed interest rate of 5.0% per annum. The Company is required to make a semi-annual installment payment of RMB 0.6 million ($85,769) within the term of the loan, with last installment of RMB 9.0 million ($1,286,532) to be paid at maturity date. The loan is guaranteed by Mr. Gang Li and his family member, Ms. Ying Xiong, as well as Urumqi Plastic Surgery Hospital Co., Ltd., a related party that is controlled by Mr. Gang Li.</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24, 2025, Xinjiang United Family entered into another loan agreement with Tianshan Rural Commercial Bank to borrow RMB10.0 million ($1,429,480) as working capital for two years, with a maturity date of March 23, 2027. The loan bears a fixed interest rate of 4.5% per annum. The Company is required to make a semi-annual installment payment of RMB 0.2 million ($28,590) within the term of the loan, with last installment of RMB 9.4 million ($1,343,711) to be paid at maturity date. The loan is guaranteed by Mr. Gang Li and his family member, Ms. Ying Xiong, and Urumqi Mary Maternity and Gynecology Hospital Co., Ltd., a related party that is controlled by Mr. Gang Li. In addition, the loan is also guaranteed by two third-party companies, as well as these two companies’ legal representatives and their family members.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19, 2025, Xinjiang United Family entered into a loan agreement with Bank of China to borrow RMB10.0 million ($1,429,480) as working capital for two years, with a maturity date of June 19, 2027. The loan bears a floating rate of China’s Loan Prime Rate (“LPR”), with every twelve months adjustments starting from the loan disbursement date. The Company is required to make a semi-annual installment payment of RMB 0.3 million ($42,884) within the term of the loan, with last installment of RMB 9.1 million ($1,300,827) to be paid at maturity date. The loan is guaranteed by Mr. Gang Li and his family member, Ms. Ying Xiong.</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16, 2025, George Chanson Trading entered into a loan agreement with Bank of China to borrow RMB4.2 million ($600,382) as working capital for three years, with a maturity date of September 15, 2028. The loan bears a floating rate of China’s Loan Prime Rate (“LPR”), with every twelve months adjustments starting from the loan disbursement date. The Company is required to make a semi-annual installment payment of RMB 0.2 million ($28,590) within the term of the loan, with last installment of RMB 3.2 million ($457,434) to be paid at maturity date. The loan is guaranteed by Mr. Gang Li and his family member, Ms. Ying Xiong, as well as the other subsidiary of the Company, Xinjiang United Family.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date of this report, these loans were repaid as scheduled.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lease office spaces, bakery stores facilities, and employee dormitories, which are classified as operating leases in accordance with ASC Topic 842. As of December 31, 2025, our future lease payments totaled $8,901,042.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Off-Balance Sheet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we had not entered into any financial guarantees or other commitments to guarantee the payment obligations of any third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Research and Development, Patents and Licenses, etc.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4. Information on the Company—B. Business Overview—R&amp;D” and “Item 4. Information on the Company—B. Business Overview—Intellectual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Trend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disclosed elsewhere in this annual report on Form 20-F, we are not aware of any trends, uncertainties, demands, commitments, or events for the period from January 1, 2025 to December 31, 2025 that are reasonably likely to have a material adverse effect on our net revenue, income, profitability, liquidity, or capital resources, or that caused the disclosed financial information to be not necessarily indicative of future operating results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Critical Accounting Estimates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discussion and analysis of our financial condition and results of operations are based upon our consolidated financial statements. These financial statements are prepared in accordance with U.S. GAAP, which requires us to make estimates and assumptions that affect the reported amounts of our assets and liabilities and revenue and expenses, to disclose contingent assets and liabilities on the date of the consolidated financial statements, and to disclose the reported amounts of revenue and expenses incurred during the financial reporting period. The most significant estimates and assumptions include the assessment of the current expected credit losses for receivables and long term debts investments, valuation of inventories, useful lives of property and equipment and intangible assets, the recoverability of long-lived assets, realization of deferred tax assets and revenue recognition. We continue to evaluate these estimates and assumptions that we believe to be reasonable under the circumstances. We rely on these evaluations as the basis for making judgments about the carrying values of assets and liabilities that are not readily apparent from other sources. Since the use of estimates is an integral component of the financial reporting process, actual results could differ from those estimates. Some of our accounting policies require higher degrees of judgment than others in their application. We believe critical accounting policies as disclosed in this report reflect the more significant judgments and estimates used in preparation of our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critical accounting policies rely upon assumptions and estimates and were used in the preparation of our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Uses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preparing the consolidated financial statements in conformity with U.S. GAAP, management makes estimates and assumptions that affect the reported amounts of assets and liabilities and disclosure of contingent assets and liabilities at the date of the financial statements and the reported amounts of revenue and expenses during the reporting period. These estimates are based on information as of the date of the consolidated financial statements. Significant estimates required to be made by management include, but are not limited to, the assessment of the current expected credit losses for receivables and long term debts investments, valuation of inventories, useful lives of property and equipment and intangible assets, the recoverability of long-lived assets, realization of deferred tax assets and revenue recognition. Actual results could differ from those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recognized and carried at original invoiced amount less an estimated allowance for credit losses, as necessary. Accounts are written off against the allowance after efforts at collection prove unsuccessful. As of December 31, 2025 and 2024, the allowance for credit losses was both $nil.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follow Accounting Standards Update 2016-13 “Financial Instruments – Credit Losses (Topic 326), Measurement of Credit Losses on Financial Instruments,” which replaces the incurred loss methodology with a current expected loss methodology that is referred to as the current expected credit loss (“CECL”) methodology.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account receivables and other receivables included in prepaid expenses and other current assets on the consolidated balance sheets are within the scope of ASC Topic 326. We make estimates of expected credit and collectability trends for the allowance for credit losses based upon assessment of various factors, including historical experience, the age of the accounts receivable and other receivables balances, credit-worthiness of the customers and other debtors, current economic conditions, reasonable and supportable forecasts of future economic conditions, and other factors that may affect its ability to collect from the customers and other debtors. We also provide specific provisions for allowance when facts and circumstances indicate that the receivable is unlikely to be collected.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Topic 326 is also applicable to short-term and long-term loans to third parties. Management estimates the allowance for credit losses on loans not sharing similar risk characteristics on an individual basis. The key factors considered when determining the above allowances for credit losses include estimated loan collection schedule, discount rate, and assets and financial performance of the borrowers.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expected credit losses are recorded as allowance for credit losses on the consolidated statements of operations and comprehensive income (loss). After all attempts to collect a receivable have failed, the receivable is written off against the allowance. In the event we recover amounts previously reserved for, we will reduce the specific allowance for 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Inventories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consist of ingredient materials, finished goods, packaging materials and other materials. Inventories are stated at the lower of cost or net realizable value, on a weighted average basis. Costs include the cost of ingredient materials, direct labor, and related production overhead. Any excess of the cost over the net realizable value of each item of inventories is recognized as a provision for diminution in the value of inventories. Net realizable value is the estimated selling price in the normal course of business less any costs to complete and sell products. We periodically evaluate inventories for their net realizable value adjustments, and reduces the carrying value of those inventories that are obsolete or in excess of the forecasted usage to their estimated net realizable value based on various factors including aging and expiration dates, as applicable, taking into consideration historical and expected future product sales. For the years ended December 31, 2025, 2024 and 2023, we did not record a material inventory reserve as any write-downs for slow-moving, obsolete, or expired inventory were not significant.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cost less accumulated depreciation and amortization. Depreciation and amortization of property and equipment are provided using the straight-line method over their expected useful lives, as follows:</w:t>
      </w:r>
    </w:p>
    <w:p>
      <w:pPr>
        <w:pStyle w:val="TextBody"/>
        <w:bidi w:val="0"/>
        <w:spacing w:before="0" w:after="0"/>
        <w:ind w:left="0" w:right="0" w:hanging="0"/>
        <w:jc w:val="both"/>
        <w:rPr>
          <w:caps w:val="false"/>
          <w:smallCaps w:val="false"/>
        </w:rPr>
      </w:pPr>
      <w:r>
        <w:rPr>
          <w:caps w:val="false"/>
          <w:smallCaps w:val="false"/>
        </w:rPr>
        <w:t> </w:t>
      </w:r>
    </w:p>
    <w:tbl>
      <w:tblPr>
        <w:tblW w:w="5770" w:type="dxa"/>
        <w:jc w:val="left"/>
        <w:tblInd w:w="0" w:type="dxa"/>
        <w:tblLayout w:type="fixed"/>
        <w:tblCellMar>
          <w:top w:w="0" w:type="dxa"/>
          <w:left w:w="0" w:type="dxa"/>
          <w:bottom w:w="0" w:type="dxa"/>
          <w:right w:w="0" w:type="dxa"/>
        </w:tblCellMar>
      </w:tblPr>
      <w:tblGrid>
        <w:gridCol w:w="2750"/>
        <w:gridCol w:w="90"/>
        <w:gridCol w:w="2930"/>
      </w:tblGrid>
      <w:tr>
        <w:trPr/>
        <w:tc>
          <w:tcPr>
            <w:tcW w:w="275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93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Useful life</w:t>
            </w:r>
          </w:p>
        </w:tc>
      </w:tr>
      <w:tr>
        <w:trPr/>
        <w:tc>
          <w:tcPr>
            <w:tcW w:w="275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Commercial property (hotel unit)</w:t>
            </w:r>
          </w:p>
        </w:tc>
        <w:tc>
          <w:tcPr>
            <w:tcW w:w="90" w:type="dxa"/>
            <w:tcBorders/>
            <w:shd w:fill="CCEEFF" w:val="clear"/>
            <w:vAlign w:val="center"/>
          </w:tcPr>
          <w:p>
            <w:pPr>
              <w:pStyle w:val="TableContents"/>
              <w:bidi w:val="0"/>
              <w:spacing w:before="0" w:after="283"/>
              <w:jc w:val="left"/>
              <w:rPr/>
            </w:pPr>
            <w:r>
              <w:rPr/>
              <w:t> </w:t>
            </w:r>
          </w:p>
        </w:tc>
        <w:tc>
          <w:tcPr>
            <w:tcW w:w="29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 years</w:t>
            </w:r>
          </w:p>
        </w:tc>
      </w:tr>
      <w:tr>
        <w:trPr/>
        <w:tc>
          <w:tcPr>
            <w:tcW w:w="2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Bakery production equipment</w:t>
            </w:r>
          </w:p>
        </w:tc>
        <w:tc>
          <w:tcPr>
            <w:tcW w:w="90"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5-8 years</w:t>
            </w:r>
          </w:p>
        </w:tc>
      </w:tr>
      <w:tr>
        <w:trPr/>
        <w:tc>
          <w:tcPr>
            <w:tcW w:w="275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Office equipment and furniture</w:t>
            </w:r>
          </w:p>
        </w:tc>
        <w:tc>
          <w:tcPr>
            <w:tcW w:w="90" w:type="dxa"/>
            <w:tcBorders/>
            <w:shd w:fill="CCEEFF" w:val="clear"/>
            <w:vAlign w:val="center"/>
          </w:tcPr>
          <w:p>
            <w:pPr>
              <w:pStyle w:val="TableContents"/>
              <w:bidi w:val="0"/>
              <w:spacing w:before="0" w:after="283"/>
              <w:jc w:val="left"/>
              <w:rPr/>
            </w:pPr>
            <w:r>
              <w:rPr/>
              <w:t> </w:t>
            </w:r>
          </w:p>
        </w:tc>
        <w:tc>
          <w:tcPr>
            <w:tcW w:w="29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 years</w:t>
            </w:r>
          </w:p>
        </w:tc>
      </w:tr>
      <w:tr>
        <w:trPr/>
        <w:tc>
          <w:tcPr>
            <w:tcW w:w="2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Automobiles</w:t>
            </w:r>
          </w:p>
        </w:tc>
        <w:tc>
          <w:tcPr>
            <w:tcW w:w="90"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 years</w:t>
            </w:r>
          </w:p>
        </w:tc>
      </w:tr>
      <w:tr>
        <w:trPr/>
        <w:tc>
          <w:tcPr>
            <w:tcW w:w="275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Leasehold improvement</w:t>
            </w:r>
          </w:p>
        </w:tc>
        <w:tc>
          <w:tcPr>
            <w:tcW w:w="90" w:type="dxa"/>
            <w:tcBorders/>
            <w:shd w:fill="CCEEFF" w:val="clear"/>
            <w:vAlign w:val="center"/>
          </w:tcPr>
          <w:p>
            <w:pPr>
              <w:pStyle w:val="TableContents"/>
              <w:bidi w:val="0"/>
              <w:spacing w:before="0" w:after="283"/>
              <w:jc w:val="left"/>
              <w:rPr/>
            </w:pPr>
            <w:r>
              <w:rPr/>
              <w:t> </w:t>
            </w:r>
          </w:p>
        </w:tc>
        <w:tc>
          <w:tcPr>
            <w:tcW w:w="2930" w:type="dxa"/>
            <w:tcBorders/>
            <w:shd w:fill="CCEEFF" w:val="clear"/>
            <w:vAlign w:val="center"/>
          </w:tcPr>
          <w:p>
            <w:pPr>
              <w:pStyle w:val="TableContents"/>
              <w:bidi w:val="0"/>
              <w:spacing w:before="0" w:after="283"/>
              <w:jc w:val="center"/>
              <w:rPr/>
            </w:pPr>
            <w:r>
              <w:rPr>
                <w:rFonts w:ascii="Times New Roman;Times;Serif" w:hAnsi="Times New Roman;Times;Serif"/>
                <w:sz w:val="20"/>
              </w:rPr>
              <w:t>Lesser of useful life and lease term</w:t>
            </w: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own a commercial property unit located within a hotel building. The asset is accounted for as property and equipment under U.S. GAAP. The purchase price was not separately allocated between land use rights and building components as such allocation is not practicable. Accordingly, the asset is accounted for as a single property and equipment asset and depreciated over its estimated useful life. We evaluate the classification of real estate assets under U.S. GAAP based on their intended use and the nature of our involvement. Although certain properties generate rental income, such assets are classified as property and equipment when they are held for use in our operations and we are actively involved in managing and operating the property. Rental activities are considered part of our broader business operations rather than passive investment activities. Management determined the useful life of the commercial property unit based on the expected period over which the asset will generate economic benefits, taking into consideration the physical condition and intended use of the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Expenditures for repair and maintenance, which do not materially extend the useful lives of the assets, are charged to expenses as incurred. Expenditures for major renewals and betterments which substantially extend the useful life of assets are capitalized. The cost and related accumulated depreciation of assets retired or sold are removed from the respective accounts, and any gain or loss is recognized in the consolidated statements of operations and comprehensive income (loss) in other income or expenses.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consist primarily of purchased software. Intangible assets are stated at cost less accumulated amortization, which are amortized using the straight-line method with the estimated useful lives of 8 years. Management determines the useful life based on the expected period over which the software will provide economic benefits, taking into consideration the expected usage of the systems, technological obsolescence, and our historical experience with similar software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Impairment of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Long-lived assets with finite lives, including property and equipment, ROU assets, and intangible assets, are reviewed for impairment in accordance with ASC 360 whenever events or changes in circumstances indicate that the carrying amount of an asset or asset group may not be recoverable. ROU assets are evaluated for impairment under ASC 360 as required by ASC 842.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assets to be held and used, recoverability is assessed by comparing the carrying amount of an asset or asset group to the undiscounted future cash flows expected to be generated.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assesses impairment at the lowest level of identifiable cash flows: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its retail operations, which are centrally managed, individual outlets do not generate independently identifiable cash flows. Accordingly, impairment is assessed at the asset group / segment level.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assets that generate independently identifiable cash flows, such as the Company’s commercial property, impairment is assessed separately.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carrying amount exceeds the undiscounted future cash flows, an impairment loss is recognized based on the excess of the carrying amount over fair value. No impairment losses were recognized for the years ended December 31, 2025, 2024 and 2023.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follow Accounting Standards Codification 606, </w:t>
      </w:r>
      <w:r>
        <w:rPr>
          <w:rFonts w:ascii="Times New Roman;Times;Serif" w:hAnsi="Times New Roman;Times;Serif"/>
          <w:b w:val="false"/>
          <w:i/>
          <w:caps w:val="false"/>
          <w:smallCaps w:val="false"/>
          <w:sz w:val="20"/>
        </w:rPr>
        <w:t>Revenue from Contracts with Customers </w:t>
      </w:r>
      <w:r>
        <w:rPr>
          <w:rFonts w:ascii="Times New Roman;Times;Serif" w:hAnsi="Times New Roman;Times;Serif"/>
          <w:b w:val="false"/>
          <w:i w:val="false"/>
          <w:caps w:val="false"/>
          <w:smallCaps w:val="false"/>
          <w:sz w:val="20"/>
        </w:rPr>
        <w:t>(“ASC 606”), for revenue recognition. ASC 606 establishes principles for reporting information about the nature, amount, timing, and uncertainty of revenue and cash flows arising from an entity’s contracts to provide goods or services to customers. The core principle requires an entity to recognize revenue to depict the transfer of goods or services to customers in an amount that reflects the consideration that it expects to be entitled to receive in exchange for those goods or services recognized, as performance obligations are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generate our revenue through our bakery/café stores as well as through online sales. We recognize revenue from bakery/café sales upon delivery of the related food and other products to the customer and fulfillment of all performance obligations. Revenue is recognized net of any discounts, sales incentives, sales taxes, and value added taxes that are collected from customers and remitted to tax authorities.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Stores sell membership cards that do not have an expiration date and from which the PRC Stores do not deduct non-usage fees from outstanding card balances. Membership cards are reloadable and redeemable at any of our store locations. Amounts loaded into these cards are initially recorded as deferred revenue. When membership cards are redeemed at stores, the PRC Stores recognize revenue and reduce the deferred revenue. While the PRC Stores continue to honor all membership cards presented for payments, management determines the likelihood of redemption to be remote for certain cards with long periods of inactivity (“breakage”), which is five years after the last usage based upon our historical redemption patterns. Membership card breakage is recorded as revenue in the consolidated statements of operations and comprehensive income (loss). Membership card breakage was immaterial for the years ended December 31, 2025, 2024 and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Stores maintain a customer loyalty program in which customers earn free cash vouchers when purchasing or reloading membership cards at certain amount. These cash vouchers typically do not expire, except for certain vouchers given out at special occasions, which usually state an expiration date and can only be exchanged for certain seasonal products or specialty cakes. We establish corresponding liabilities in deferred revenue for the membership cards and the free cash vouchers upon issuance. We allocate the consideration received proportionately between the membership cards and cash vouchers based on their face values. Revenue is recognized at the allocated amount upon redemption of membership cards and cash vouchers, at which point the PRC Stores deliver products to customers and reduce the deferred revenue. Unredeemed cash vouchers will be recognized as revenue upon their expiration dates, if any, or five years after their issuance if there are no stated expiration dates, when management determines the likelihood of redemption to be remote.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Contract balances and remaining performance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balances typically arise when a difference in timing between the transfer of control to the customer and receipt of consideration occurs. We did not have contract assets as of December 31, 2025 and 2024. Our contract liabilities, which are reflected in our consolidated balance sheets as deferred revenue of $7,670,555 and $6,697,964 as of December 31, 2025 and 2024, respectively, consist primarily of customer payments for the membership cards and the fair value of the cash vouchers under our customer loyalty programs. These amounts represent our unsatisfied performance obligations as of the balance sheet dates. The amount of revenue recognized in the years ended December 31, 2025, 2024 and 2023 that was included in the opening deferred revenue was $5,229,530, $5,449,243 and $6,559,028, respectively. As of December 31, 2025, the aggregate amount of unredeemed membership cards and cash vouchers was $7,670,555. We will recognize revenue when customers redeem the membership cards or cash vouchers in store purchases. Based on our historical experience, a significant portion of the redemption is expected to occur during the first two years after December 31, 2025 and the remaining between the third and fifth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current income taxes in accordance with the laws of the relevant tax authorities. Deferred income taxes are recognized when temporary differences exist between the tax bases of assets and liabilities and their reported amounts in the consolidated financial statements.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when necessary, to reduce deferred tax assets to the amount expected to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uncertain tax position is recognized as a benefit only if it is “more likely than not” that the tax position would be sustained in a tax examination. The amount recognized is the largest amount of tax benefit that is greater than 50% likely of being realized on examination. For tax positions not meeting the “more likely than not” test, no tax benefit is recorded. Penalties and interest incurred related to underpayment of income tax are classified as income tax expense in the period incurred. No penalties or interest relating to income taxes were incurred during the years ended December 31, 2025, 2024 and 2023. We do not believe there was any uncertain tax provision at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subsidiary in China is subject to the income tax laws of the PRC. Our operating subsidiaries in United States are subject to the tax law of the United States. As of December 31, 2025, for the tax years ended December 31, 2021 through December 31, 2025, our PRC subsidiaries remained open for statutory examination by PRC tax authorities, and for the tax years ended December 31, 2023 through December 31, 2025, our United States subsidiaries remained open for statutory examination by U.S. tax authorities.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No. 2024-03, “Income Statement - Reporting Comprehensive Income (Topic 22): Expense Disaggregation Disclosures. This ASU requires entities to 1. disclose amounts of (a) purchase of inventory, (b) employee compensation, (c) depreciation, (d) intangible asset amortization, and, (e) depreciation, depletion, and amortization recognized as part of oil-and gas-producing activities, 2. include certain amounts that are already required to be disclosed under current Generally Accepted Accounting Principles in the same disclosures as other disaggregation requirements, 3. disclose a qualitative description of the amounts remaining in relevant expense captions that are not necessarily disaggregated quantitatively, and 4. disclose the total amount of selling expenses, in annual reporting periods, an entity’s definition of selling expense. The ASU is effective for annual reporting periods beginning after December 15, 2026 and interim reporting periods beginning after December 15, 2027. Additionally, in January 2025, the FASB issued ASU No. 2025-01 to clarify the effective date of ASU 2024-03. The standard provides guidance to expand disclosures related to the disaggregation of income statement expenses. The standard requires, in the notes to the financial statements, disclosure of specified information about certain costs and expenses which includes purchases of inventory, employee compensation, depreciation, and intangible asset amortization included in each relevant expense caption. This guidance is effective for fiscal years beginning after December 15, 2026, and interim periods within annual reporting periods beginning after December 15, 2027, on a retrospective or prospective basis, with early adoption permitted. We plan to adopt this guidance effective January 1, 2027 and we are currently evaluating the impact of adopting this ASU on our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the FASB issued ASU No. 2025-03, “Business Combinations (Topic 805) and Consolidation (Topic 810): Accounting Acquirer in a Business Combination Involving a Variable Interest Entity”. This ASU clarifies that when a business that is a VIE is acquired primarily with equity interests, the determination of the accounting acquirer should follow ASC 805 rather than defaulting to the primary beneficiary under ASC 810. The standard is effective for fiscal years beginning after December 15, 2026, including interim periods within those fiscal years. Early adoption is permitted. We plan to adopt this guidance effective January 1, 2027 and we are currently evaluating the impact of adopting this ASU on our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No. 2025-05, “Financial Instruments—Credit Losses (Topic 326): Measurement of Credit Losses for Accounts Receivable and Contract Assets”. This ASU provides a practical expedient for all entities related to the estimation of expected credit losses for current accounts receivable and current contract assets that arise from transactions accounted for under Topic 606. The standard is effective for annual periods beginning after December 15, 2025. Early adoption of ASU 2025-05 is permitted and should be applied prospectively. We will be adopting this guidance effectively January 1, 2026 and we are currently evaluating the impact of adopting this ASU on our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2025-11, Interim Reporting (Topic 270): Narrow-Scope Improvements. The purpose of this update is to improve the clarity and organization of interim reporting guidance and to enhance the disclosure requirements applicable to interim financial statements. ASU 2025-11 does not change the fundamental principles of interim reporting but clarifies the scope and presentation of required disclosures. A public business entity shall apply for interim reporting periods within annual reporting periods beginning after December 15, 2027. An entity other than a public business entity shall apply for interim reporting periods within annual reporting periods beginning after December 15, 2028. We plan to adopt this guidance effective January 1, 2028 and we are currently evaluating the impact of adopting this ASU on our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above-mentioned pronouncements, there are no new recently issued accounting standards that are expected to have a material impact on our consolidated financial position, statements of operations, and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Item 6. DIRECTORS, SENIOR MANAGEMENT AND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Directors and Senior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our directors and executive officers as of the date of this annual report.</w:t>
      </w:r>
    </w:p>
    <w:p>
      <w:pPr>
        <w:pStyle w:val="TextBody"/>
        <w:bidi w:val="0"/>
        <w:spacing w:before="0" w:after="0"/>
        <w:ind w:left="0" w:right="0" w:hanging="0"/>
        <w:jc w:val="left"/>
        <w:rPr>
          <w:caps w:val="false"/>
          <w:smallCaps w:val="false"/>
        </w:rPr>
      </w:pPr>
      <w:r>
        <w:rPr>
          <w:caps w:val="false"/>
          <w:smallCaps w:val="false"/>
        </w:rPr>
        <w:t> </w:t>
      </w:r>
    </w:p>
    <w:tbl>
      <w:tblPr>
        <w:tblW w:w="5265" w:type="dxa"/>
        <w:jc w:val="left"/>
        <w:tblInd w:w="0" w:type="dxa"/>
        <w:tblLayout w:type="fixed"/>
        <w:tblCellMar>
          <w:top w:w="0" w:type="dxa"/>
          <w:left w:w="0" w:type="dxa"/>
          <w:bottom w:w="28" w:type="dxa"/>
          <w:right w:w="0" w:type="dxa"/>
        </w:tblCellMar>
      </w:tblPr>
      <w:tblGrid>
        <w:gridCol w:w="1505"/>
        <w:gridCol w:w="90"/>
        <w:gridCol w:w="380"/>
        <w:gridCol w:w="90"/>
        <w:gridCol w:w="3200"/>
      </w:tblGrid>
      <w:tr>
        <w:trPr/>
        <w:tc>
          <w:tcPr>
            <w:tcW w:w="150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90" w:type="dxa"/>
            <w:tcBorders/>
            <w:tcMar>
              <w:bottom w:w="0" w:type="dxa"/>
            </w:tcMar>
            <w:vAlign w:val="center"/>
          </w:tcPr>
          <w:p>
            <w:pPr>
              <w:pStyle w:val="TableContents"/>
              <w:bidi w:val="0"/>
              <w:spacing w:before="0" w:after="283"/>
              <w:jc w:val="center"/>
              <w:rPr/>
            </w:pPr>
            <w:r>
              <w:rPr/>
              <w:t> </w:t>
            </w:r>
          </w:p>
        </w:tc>
        <w:tc>
          <w:tcPr>
            <w:tcW w:w="38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Age</w:t>
            </w:r>
          </w:p>
        </w:tc>
        <w:tc>
          <w:tcPr>
            <w:tcW w:w="90" w:type="dxa"/>
            <w:tcBorders/>
            <w:tcMar>
              <w:bottom w:w="0" w:type="dxa"/>
            </w:tcMar>
            <w:vAlign w:val="center"/>
          </w:tcPr>
          <w:p>
            <w:pPr>
              <w:pStyle w:val="TableContents"/>
              <w:bidi w:val="0"/>
              <w:spacing w:before="0" w:after="283"/>
              <w:jc w:val="center"/>
              <w:rPr/>
            </w:pPr>
            <w:r>
              <w:rPr/>
              <w:t> </w:t>
            </w:r>
          </w:p>
        </w:tc>
        <w:tc>
          <w:tcPr>
            <w:tcW w:w="320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Position(s)</w:t>
            </w:r>
          </w:p>
        </w:tc>
      </w:tr>
      <w:tr>
        <w:trPr/>
        <w:tc>
          <w:tcPr>
            <w:tcW w:w="15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Gang Li</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3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60</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32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and Chief Executive Officer</w:t>
            </w:r>
          </w:p>
        </w:tc>
      </w:tr>
      <w:tr>
        <w:trPr/>
        <w:tc>
          <w:tcPr>
            <w:tcW w:w="15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Jihong Cai</w:t>
            </w:r>
          </w:p>
        </w:tc>
        <w:tc>
          <w:tcPr>
            <w:tcW w:w="90" w:type="dxa"/>
            <w:tcBorders/>
            <w:tcMar>
              <w:bottom w:w="0" w:type="dxa"/>
            </w:tcMar>
            <w:vAlign w:val="center"/>
          </w:tcPr>
          <w:p>
            <w:pPr>
              <w:pStyle w:val="TableContents"/>
              <w:bidi w:val="0"/>
              <w:spacing w:before="0" w:after="283"/>
              <w:jc w:val="center"/>
              <w:rPr/>
            </w:pPr>
            <w:r>
              <w:rPr/>
              <w:t> </w:t>
            </w:r>
          </w:p>
        </w:tc>
        <w:tc>
          <w:tcPr>
            <w:tcW w:w="3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56</w:t>
            </w:r>
          </w:p>
        </w:tc>
        <w:tc>
          <w:tcPr>
            <w:tcW w:w="90" w:type="dxa"/>
            <w:tcBorders/>
            <w:tcMar>
              <w:bottom w:w="0" w:type="dxa"/>
            </w:tcMar>
            <w:vAlign w:val="center"/>
          </w:tcPr>
          <w:p>
            <w:pPr>
              <w:pStyle w:val="TableContents"/>
              <w:bidi w:val="0"/>
              <w:spacing w:before="0" w:after="283"/>
              <w:jc w:val="center"/>
              <w:rPr/>
            </w:pPr>
            <w:r>
              <w:rPr/>
              <w:t> </w:t>
            </w:r>
          </w:p>
        </w:tc>
        <w:tc>
          <w:tcPr>
            <w:tcW w:w="32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r>
        <w:trPr/>
        <w:tc>
          <w:tcPr>
            <w:tcW w:w="15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Shuaiheng Zhang</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3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62</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32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Independent Director</w:t>
            </w:r>
          </w:p>
        </w:tc>
      </w:tr>
      <w:tr>
        <w:trPr/>
        <w:tc>
          <w:tcPr>
            <w:tcW w:w="150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Jie Li</w:t>
            </w:r>
          </w:p>
        </w:tc>
        <w:tc>
          <w:tcPr>
            <w:tcW w:w="90" w:type="dxa"/>
            <w:tcBorders/>
            <w:tcMar>
              <w:bottom w:w="0" w:type="dxa"/>
            </w:tcMar>
            <w:vAlign w:val="center"/>
          </w:tcPr>
          <w:p>
            <w:pPr>
              <w:pStyle w:val="TableContents"/>
              <w:bidi w:val="0"/>
              <w:spacing w:before="0" w:after="283"/>
              <w:jc w:val="center"/>
              <w:rPr/>
            </w:pPr>
            <w:r>
              <w:rPr/>
              <w:t> </w:t>
            </w:r>
          </w:p>
        </w:tc>
        <w:tc>
          <w:tcPr>
            <w:tcW w:w="380"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38</w:t>
            </w:r>
          </w:p>
        </w:tc>
        <w:tc>
          <w:tcPr>
            <w:tcW w:w="90" w:type="dxa"/>
            <w:tcBorders/>
            <w:tcMar>
              <w:bottom w:w="0" w:type="dxa"/>
            </w:tcMar>
            <w:vAlign w:val="center"/>
          </w:tcPr>
          <w:p>
            <w:pPr>
              <w:pStyle w:val="TableContents"/>
              <w:bidi w:val="0"/>
              <w:spacing w:before="0" w:after="283"/>
              <w:jc w:val="center"/>
              <w:rPr/>
            </w:pPr>
            <w:r>
              <w:rPr/>
              <w:t> </w:t>
            </w:r>
          </w:p>
        </w:tc>
        <w:tc>
          <w:tcPr>
            <w:tcW w:w="320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Independent Director</w:t>
            </w:r>
          </w:p>
        </w:tc>
      </w:tr>
      <w:tr>
        <w:trPr/>
        <w:tc>
          <w:tcPr>
            <w:tcW w:w="15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Bin Li</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3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32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Independent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brief biography of each of the executive officers and directors listed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Mr. Gang Li</w:t>
      </w:r>
      <w:r>
        <w:rPr>
          <w:rFonts w:ascii="Times New Roman;Times;Serif" w:hAnsi="Times New Roman;Times;Serif"/>
          <w:b w:val="false"/>
          <w:i w:val="false"/>
          <w:caps w:val="false"/>
          <w:smallCaps w:val="false"/>
          <w:sz w:val="20"/>
        </w:rPr>
        <w:t xml:space="preserve"> has been our chief executive officer since September 2022, our Chairman since September 2020, and our director since July 2019. Mr. Li served as the chief executive officer of Xinjiang United Family from May 2016 to January 2018 and from August 2015 to January 2016. Mr. Li has been the chief executive officer of Urumqi Plastic Surgery Hospital Co., Ltd. since July 2011 and the chief executive officer of Urumqi Marie Gynecological and Obstetrical Hospital (Limited) since August 2009, responsible for the operations and investment of the companies. Mr. Li received his bachelor’s degree in Chinese Literature from Xinjiang University in 1989.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Ms. Jihong Cai</w:t>
      </w:r>
      <w:r>
        <w:rPr>
          <w:rFonts w:ascii="Times New Roman;Times;Serif" w:hAnsi="Times New Roman;Times;Serif"/>
          <w:b w:val="false"/>
          <w:i w:val="false"/>
          <w:caps w:val="false"/>
          <w:smallCaps w:val="false"/>
          <w:sz w:val="20"/>
        </w:rPr>
        <w:t xml:space="preserve"> has been our chief financial officer since September 2020. Ms. Cai has served as the chief financial officer of Xinjiang United Family since September 2018. Prior to joining Xinjiang United Family, Ms. Cai served as the chief financial officer of Xinjiang Dongbao Group from June 2016 to August 2018, as the chief financial officer of Xinjiang Fudiyuan Real Estate Development Co., Ltd. from June 2011 to May 2016, and as the chief financial officer of Xinjiang Osman Biotechnology Co., Ltd. from July 2002 to January 2011. Ms. Cai is a Chinese Certified Tax Agent, accountant, and financial planner. Ms. Cai received her bachelor’s degree in Accounting from Hubei University in 1991.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Mr. Shuaiheng Zhang</w:t>
      </w:r>
      <w:r>
        <w:rPr>
          <w:rFonts w:ascii="Times New Roman;Times;Serif" w:hAnsi="Times New Roman;Times;Serif"/>
          <w:b w:val="false"/>
          <w:i w:val="false"/>
          <w:caps w:val="false"/>
          <w:smallCaps w:val="false"/>
          <w:sz w:val="20"/>
        </w:rPr>
        <w:t xml:space="preserve"> has served as our independent director since August 2023. Mr. Zhang has over 40 years of business and managerial experience in electronic components manufacturing and new energy industries. Since September 2019, Mr. Zhang has been serving as the General Manager at Sunwoda Electronic Co., Ltd, a company listed on the Growth Enterprise Market of Shenzhen Stock Exchange since 2011 and a developer and manufacturer of lithium-ion battery cells and modules. From December 2015 to September 2019, Mr. Zhang served as the General Manager and Chairman of the Board of Directors of Shenzhen SEG Longyan Energy Technology Co., Ltd., a company engaged in the development and sales of solar power plants and accessories. Prior to that, Mr. Zhang served as the General Manager of Shenzhen SI Semiconductors Co., Ltd, a power semiconductor device manufacturer with international presence from July 2013 to December 2015. Mr. Zhang received his EMBA degree from Tsinghua University in 1998 and a bachelor’s degree from Xidian University in 1986.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Mr. Jie Li </w:t>
      </w:r>
      <w:r>
        <w:rPr>
          <w:rFonts w:ascii="Times New Roman;Times;Serif" w:hAnsi="Times New Roman;Times;Serif"/>
          <w:b w:val="false"/>
          <w:i w:val="false"/>
          <w:caps w:val="false"/>
          <w:smallCaps w:val="false"/>
          <w:sz w:val="20"/>
        </w:rPr>
        <w:t>has served as our independent director since August 2024. Mr. Li has worked as a lawyer at Beijing DeHeng Law Offices (Urumqi) since April 2016. He received his Bachelor of Laws degree from Shandong University of Finance and Economics in 2008.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Mr. Bin Li</w:t>
      </w:r>
      <w:r>
        <w:rPr>
          <w:rFonts w:ascii="Times New Roman;Times;Serif" w:hAnsi="Times New Roman;Times;Serif"/>
          <w:b w:val="false"/>
          <w:i w:val="false"/>
          <w:caps w:val="false"/>
          <w:smallCaps w:val="false"/>
          <w:sz w:val="20"/>
        </w:rPr>
        <w:t xml:space="preserve"> has served as our independent director since December 2025. Mr. Li has over 15 years of experience in accounting, financial management, capital markets, and corporate governance. He currently serves as Chief Financial Officer of MultiMetaverse Holdings Limited (Nasdaq: MMV), where he leads financial strategy, reporting, compliance, capital management, and investor relations. In this role, Mr. Li has overseen the company’s successful de-SPAC business combination, SEC filings, and ongoing public company compliance. Since January 2021, Mr. Li has been serving as a Sponsor of Embrace Change Acquisition Corp (Nasdaq: EMCG), a special purpose acquisition company, where he has led the SPAC’s IPO, target identification, and transaction execution, including SEC and audit processes. Since June 2015, Mr. Li has been serving as Head of Board Office at Beijing Gaia Interactive Network Technology Co., Ltd., where he directed board office operations, led multiple rounds of private and public financing, and managed investor relations and information disclosure for the company’s listing on China’s National Equities Exchange and Quotations (“NEEQ”, New Third Board). From 2008 to 2015, Mr. Li held financial management and accounting positions at Beckman Coulter Australia, Vinci Group (France), and AMF Bowling Centers in Sydney, Australia, where he was responsible for financial reporting, audit support, cash management, and compliance across multinational operations. Mr. Li holds a master’s degree in accounting CPA extension from Macquarie University and a bachelor’s degree in finance from Tianjin University of Finance and Economics. He is a full member of CPA Australia and holds a Board Secretary qualification for China’s NEEQ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Family Relationships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our directors or executive officers has a family relationship as defined in Item 401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we paid an aggregate of approximately $86,913 as compensation to our executive officers and directors. None of our non-employee directors have any service contracts with us that provide for benefits upon termination of employment. We have not set aside or accrued any amount to provide pension, retirement, or other similar benefits to our directors and executive officers. Our PRC subsidiary and the VIEs are required by law to make contributions equal to certain percentages of each employee’s salary for his or her pension insurance, medical insurance, unemployment insurance, and other statutory benefits and a housing provident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Board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consists of five directors. Our board of directors have determined that our three independent directors, Shuaiheng Zhang, Jie Li, and Bin Li satisfy the “independence” requirements of the Nasdaq corporate governance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Duties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Cayman Islands law, all of our directors owe three types of duties to us: (i) statutory duties, (ii) fiduciary duties, and (iii) common law duties. The Companies Act (Revised) of the Cayman Islands imposes a number of statutory duties on a director. A Cayman Islands director’s fiduciary duties are not codified, however the courts of the Cayman Islands have held that a director owes the following fiduciary duties: (a) a duty to act in what the director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considers to be in the best interests of the company, (b) a duty to exercise their powers for the purposes they were conferred, (c) a duty to avoid fettering his or her discretion in the future and (d) a duty to avoid conflicts of interest and of duty. The common law duties owed by a director are those to act with skill, care and diligence that may reasonably be expected of a person carrying out the same functions as are carried out by that director in relation to the company and, also, to act with the skill, care and diligence in keeping with a standard of care commensurate with any particular skill they have which enables them to meet a higher standard than a director without those skills. In fulfilling their duty of care to us, our directors must ensure compliance with our amended and restated articles of association. We have the right to seek damages if a duty owed by any of our directors is breached.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Companies Act and our amended and restated memorandum and articles of association, our business shall be managed by our board of directors who may for that purpose exercise all the powers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 of Directors and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may be elected by a resolution of our board of directors or by an ordinary resolution of our shareholders. Unless re-appointed or removed from office pursuant to the provisions of our amended and restated articles of association, each of our directors shall hold office for a term expiring at the next-following annual general meeting of the Company, at which such director is eligible for reelection. A director will cease to be a director if he (i) is prohibited by the law of the Cayman Islands from acting as a Director; (ii) becomes bankrupt or makes any arrangement or composition with his creditors; (iii) resigns his office by notice to the company; (iv) only held office as a director for a fixed term and such term expires; (v) in the opinion of a registered medical practitioner by whom the director is being treated, the director becomes physically or mentally incapable of acting as a director; (vi) is given notice by the majority of the other directors (not being less than two in number) to vacate office (without prejudice to any claim for damages for breach of any agreement relating to the provision of the services of such director); (vii) is made subject to any law relating to mental health or incompetence, whether by court order or otherwise; or (viii) without the consent of the other directors, is absent from meetings of directors for a continuous period of six months. All of our executive officers are appointed by and serve at the discretion of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Qualification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currently no shareholding qualification for directors, although a shareholding qualification for directors may be fixed by our shareholders by ordinary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employment agreements with each of our executive officers. Pursuant to such employment agreements, we have agreed to employ each of our executive officers for a specified time period, which will be automatically renewed unless either party gives the other party a written notice to terminate the agreement six months prior to the end of the current employment term. We may terminate the employment for cause, at any time, without notice or remuneration, for certain acts of the executive officer, including but not limited to the commitments of any serious or persistent breach or non-observance of the terms and conditions of the employment, conviction of a criminal offense, willful disobedience of a lawful and reasonable order, fraud or dishonesty, receipt of bribery, or severe neglect of his or her duties. An executive officer may terminate his or her employment at any time with a three-month prior written notice. Each executive officer agrees to hold, both during and after the employment agreement expires, in strict confidence and not to use or disclose to any person, corporation or other entity without written consent, any confidential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Insider Participation Concerning Executive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March 2023, our Chairman, Mr. Gang Li, was making all determinations regarding executive officer compensation. After March 2023, when our compensation committee was set up, the compensation committee is making all determination regarding executive officer compensation (please see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Committees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three committees under the board of directors: an audit committee, a compensation committee, and a nominating and corporate governance committee. Each of the committees is comprised of our independent directors. We have adopted a charter for each of the three committees. Each committee’s members and functions are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Audit Committee</w:t>
      </w:r>
      <w:r>
        <w:rPr>
          <w:rFonts w:ascii="Times New Roman;Times;Serif" w:hAnsi="Times New Roman;Times;Serif"/>
          <w:b w:val="false"/>
          <w:i w:val="false"/>
          <w:caps w:val="false"/>
          <w:smallCaps w:val="false"/>
          <w:sz w:val="20"/>
        </w:rPr>
        <w:t>. Our audit committee consists of our three independent directors, Bin Li, Jie Li, and Shuaiheng Zhang. Bin Li is the chairperson of our audit committee. We have determined that each of our independent directors also satisfy the “independence” requirements of Rule 10A-3 under the Securities Exchange Act. Our board also has determined that Bin Li qualifies as an audit committee financial expert within the meaning of the SEC rules or possesses financial sophistication within the meaning of the Nasdaq listing rules. The audit committee oversees our accounting and financial reporting processes and the audits of the financial statements of our Company. The audit committee is responsible for, among other things: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appointing the independent auditors and pre-approving all auditing and non-auditing services permitted to be performed by the independent auditors;</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with the independent auditors any audit problems or difficulties and management’s response;</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discussing the annual audited financial statements with management and the independent auditors;</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the adequacy and effectiveness of our accounting and internal control policies and procedures and any steps taken to monitor and control major financial risk exposures;</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approving all proposed related party transactions;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meeting separately and periodically with management and the independent auditors; and</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monitoring compliance with our code of business conduct and ethics, including reviewing the adequacy and effectiveness of our procedures to ensure proper compliance.</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Compensation Committee.</w:t>
      </w:r>
      <w:r>
        <w:rPr>
          <w:rFonts w:ascii="Times New Roman;Times;Serif" w:hAnsi="Times New Roman;Times;Serif"/>
          <w:b w:val="false"/>
          <w:i w:val="false"/>
          <w:caps w:val="false"/>
          <w:smallCaps w:val="false"/>
          <w:sz w:val="20"/>
        </w:rPr>
        <w:t xml:space="preserve"> Our compensation committee consists of our three independent directors, Jie Li, Shuaiheng Zhang and Bin Li. Jie Li is the chairperson of our compensation committee. The compensation committee assists the board in reviewing and approving the compensation structure, including all forms of compensation, relating to our directors and executive officers. Our chief executive officer may not be present at any committee meeting during which his compensation is deliberated. The compensation committee is responsible for, among other things: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approving the total compensation package for our most senior executive officers;</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approving and overseeing the total compensation package for our executives other than the most senior executive officers;</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recommending to the board with respect to the compensation of our directors;</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periodically and approving any long-term incentive compensation or equity plans;</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selecting compensation consultants, legal counsel or other advisors after taking into consideration all factors relevant to that person’s independence from management; and</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programs or similar arrangements, annual bonuses, employee pension and welfare benefit plans.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Nominating and Corporate Governance Committee</w:t>
      </w:r>
      <w:r>
        <w:rPr>
          <w:rFonts w:ascii="Times New Roman;Times;Serif" w:hAnsi="Times New Roman;Times;Serif"/>
          <w:b w:val="false"/>
          <w:i w:val="false"/>
          <w:caps w:val="false"/>
          <w:smallCaps w:val="false"/>
          <w:sz w:val="20"/>
        </w:rPr>
        <w:t>. Our nominating and corporate governance committee consists of our three independent directors, Shuaiheng Zhang, Jie Li and Bin Li. Shuaiheng Zhang is the chairperson of our nominating and corporate governance committee. The nominating and corporate governance committee assists the board of directors in selecting individuals qualified to become our directors and in determining the composition of the board and its committees. The nominating and corporate governance committee is responsible for, among other things: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identifying and recommending nominees for election or re-election to our board of directors or for appointment to fill any vacancy;</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annually with our board of directors its current composition in light of the characteristics of independence, age, skills, experience and availability of service to us;</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identifying and recommending to our board the directors to serve as members of committees;</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advising the board periodically with respect to significant developments in the law and practice of corporate governance as well as our compliance with applicable laws and regulations, and making recommendations to our board of directors on all matters of corporate governance and on any corrective action to be taken; and</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monitoring compliance with our code of business conduct and ethics, including reviewing the adequacy and effectiveness of our procedures to ensure proper compliance.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4. Information on the Company-B. Business Overview-Employees.”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Share Ownership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with respect to the beneficial ownership, within the meaning of Rule 13d-3 under the Exchange Act, of our Class A Ordinary Shares and Class B Ordinary Shares as of the date of this annual report for:</w:t>
      </w:r>
    </w:p>
    <w:p>
      <w:pPr>
        <w:pStyle w:val="TextBody"/>
        <w:bidi w:val="0"/>
        <w:spacing w:before="0" w:after="0"/>
        <w:ind w:left="0" w:right="0" w:hanging="0"/>
        <w:jc w:val="left"/>
        <w:rPr>
          <w:caps w:val="false"/>
          <w:smallCaps w:val="false"/>
        </w:rPr>
      </w:pPr>
      <w:r>
        <w:rPr>
          <w:caps w:val="false"/>
          <w:smallCaps w:val="false"/>
        </w:rPr>
        <w:t> </w:t>
      </w:r>
    </w:p>
    <w:tbl>
      <w:tblPr>
        <w:tblW w:w="9955" w:type="dxa"/>
        <w:jc w:val="left"/>
        <w:tblInd w:w="0" w:type="dxa"/>
        <w:tblLayout w:type="fixed"/>
        <w:tblCellMar>
          <w:top w:w="0" w:type="dxa"/>
          <w:left w:w="0" w:type="dxa"/>
          <w:bottom w:w="0" w:type="dxa"/>
          <w:right w:w="0" w:type="dxa"/>
        </w:tblCellMar>
      </w:tblPr>
      <w:tblGrid>
        <w:gridCol w:w="105"/>
        <w:gridCol w:w="200"/>
        <w:gridCol w:w="965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6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of our directors and executive officers; and</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65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6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person known to us to own beneficially more than 5% of our Class A Ordinary Shares or Class B Ordinary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includes voting or investment power with respect to the securities. Except as indicated below, and subject to applicable community property laws, the persons named in the table have sole voting and investment power with respect to all Class A Ordinary Shares or Class B Ordinary Shares shown as beneficially owned by them. Percentage of beneficial ownership of each listed person is based on 58,957,905 Class A Ordinary Shares and 70,875 Class B Ordinary Shares outstanding as of the date of this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with respect to beneficial ownership has been furnished by each director, officer, or beneficial owner of 5% or more of our Class A Ordinary Shares or Class B Ordinary Shares. Beneficial ownership is determined in accordance with the rules of the SEC and generally requires that such person have voting or investment power with respect to securities. In computing the number of Class A Ordinary Shares beneficially owned by a person listed below and the percentage ownership of such person, Class A Ordinary Shares underlying options, warrants, or convertible securities, including Class B Ordinary Shares, held by each such person that are exercisable or convertible within 60 days of the date of this annual report are deemed outstanding, but are not deemed outstanding for computing the percentage ownership of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139" w:type="dxa"/>
        <w:jc w:val="left"/>
        <w:tblInd w:w="0" w:type="dxa"/>
        <w:tblLayout w:type="fixed"/>
        <w:tblCellMar>
          <w:top w:w="0" w:type="dxa"/>
          <w:left w:w="0" w:type="dxa"/>
          <w:bottom w:w="0" w:type="dxa"/>
          <w:right w:w="0" w:type="dxa"/>
        </w:tblCellMar>
      </w:tblPr>
      <w:tblGrid>
        <w:gridCol w:w="5465"/>
        <w:gridCol w:w="90"/>
        <w:gridCol w:w="93"/>
        <w:gridCol w:w="904"/>
        <w:gridCol w:w="93"/>
        <w:gridCol w:w="93"/>
        <w:gridCol w:w="93"/>
        <w:gridCol w:w="423"/>
        <w:gridCol w:w="90"/>
        <w:gridCol w:w="90"/>
        <w:gridCol w:w="95"/>
        <w:gridCol w:w="658"/>
        <w:gridCol w:w="95"/>
        <w:gridCol w:w="95"/>
        <w:gridCol w:w="95"/>
        <w:gridCol w:w="658"/>
        <w:gridCol w:w="90"/>
        <w:gridCol w:w="90"/>
        <w:gridCol w:w="124"/>
        <w:gridCol w:w="570"/>
        <w:gridCol w:w="135"/>
      </w:tblGrid>
      <w:tr>
        <w:trPr/>
        <w:tc>
          <w:tcPr>
            <w:tcW w:w="546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699"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w:t>
              <w:br/>
              <w:t>Ordinary Shares</w:t>
              <w:br/>
              <w:t>Beneficially Owned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696"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B</w:t>
              <w:br/>
              <w:t>Ordinary Shares</w:t>
              <w:br/>
              <w:t>Beneficially Owned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69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Voting </w:t>
              <w:br/>
              <w:t>Power#</w:t>
            </w:r>
          </w:p>
        </w:tc>
        <w:tc>
          <w:tcPr>
            <w:tcW w:w="135" w:type="dxa"/>
            <w:tcBorders/>
            <w:vAlign w:val="center"/>
          </w:tcPr>
          <w:p>
            <w:pPr>
              <w:pStyle w:val="TableContents"/>
              <w:bidi w:val="0"/>
              <w:spacing w:before="0" w:after="283"/>
              <w:jc w:val="center"/>
              <w:rPr/>
            </w:pPr>
            <w:r>
              <w:rPr/>
              <w:t> </w:t>
            </w:r>
          </w:p>
        </w:tc>
      </w:tr>
      <w:tr>
        <w:trPr/>
        <w:tc>
          <w:tcPr>
            <w:tcW w:w="546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9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p>
        </w:tc>
        <w:tc>
          <w:tcPr>
            <w:tcW w:w="93" w:type="dxa"/>
            <w:tcBorders/>
            <w:vAlign w:val="center"/>
          </w:tcPr>
          <w:p>
            <w:pPr>
              <w:pStyle w:val="TableContents"/>
              <w:bidi w:val="0"/>
              <w:spacing w:before="0" w:after="283"/>
              <w:jc w:val="center"/>
              <w:rPr/>
            </w:pPr>
            <w:r>
              <w:rPr/>
              <w:t> </w:t>
            </w:r>
          </w:p>
        </w:tc>
        <w:tc>
          <w:tcPr>
            <w:tcW w:w="93" w:type="dxa"/>
            <w:tcBorders/>
            <w:vAlign w:val="center"/>
          </w:tcPr>
          <w:p>
            <w:pPr>
              <w:pStyle w:val="TableContents"/>
              <w:bidi w:val="0"/>
              <w:spacing w:before="0" w:after="283"/>
              <w:jc w:val="center"/>
              <w:rPr/>
            </w:pPr>
            <w:r>
              <w:rPr/>
              <w:t> </w:t>
            </w:r>
          </w:p>
        </w:tc>
        <w:tc>
          <w:tcPr>
            <w:tcW w:w="516"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5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p>
        </w:tc>
        <w:tc>
          <w:tcPr>
            <w:tcW w:w="95"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75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69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135" w:type="dxa"/>
            <w:tcBorders/>
            <w:vAlign w:val="center"/>
          </w:tcPr>
          <w:p>
            <w:pPr>
              <w:pStyle w:val="TableContents"/>
              <w:bidi w:val="0"/>
              <w:spacing w:before="0" w:after="283"/>
              <w:jc w:val="center"/>
              <w:rPr/>
            </w:pPr>
            <w:r>
              <w:rPr/>
              <w:t> </w:t>
            </w:r>
          </w:p>
        </w:tc>
      </w:tr>
      <w:tr>
        <w:trPr/>
        <w:tc>
          <w:tcPr>
            <w:tcW w:w="54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Directors and Executive Officers</w:t>
            </w:r>
            <w:r>
              <w:rPr>
                <w:rFonts w:ascii="Times New Roman;Times;Serif" w:hAnsi="Times New Roman;Times;Serif"/>
                <w:b/>
                <w:position w:val="7"/>
                <w:sz w:val="16"/>
                <w:sz w:val="20"/>
              </w:rPr>
              <w:t>(1)</w:t>
            </w:r>
            <w:r>
              <w:rPr>
                <w:rFonts w:ascii="Times New Roman;Times;Serif" w:hAnsi="Times New Roman;Times;Serif"/>
                <w:b/>
                <w:sz w:val="20"/>
              </w:rPr>
              <w:t>:</w:t>
            </w:r>
          </w:p>
        </w:tc>
        <w:tc>
          <w:tcPr>
            <w:tcW w:w="90" w:type="dxa"/>
            <w:tcBorders/>
            <w:vAlign w:val="center"/>
          </w:tcPr>
          <w:p>
            <w:pPr>
              <w:pStyle w:val="TableContents"/>
              <w:bidi w:val="0"/>
              <w:spacing w:before="0" w:after="283"/>
              <w:jc w:val="left"/>
              <w:rPr/>
            </w:pPr>
            <w:r>
              <w:rPr/>
              <w:t> </w:t>
            </w:r>
          </w:p>
        </w:tc>
        <w:tc>
          <w:tcPr>
            <w:tcW w:w="997" w:type="dxa"/>
            <w:gridSpan w:val="2"/>
            <w:tcBorders/>
            <w:vAlign w:val="center"/>
          </w:tcPr>
          <w:p>
            <w:pPr>
              <w:pStyle w:val="TableContents"/>
              <w:bidi w:val="0"/>
              <w:spacing w:before="0" w:after="283"/>
              <w:jc w:val="right"/>
              <w:rPr/>
            </w:pPr>
            <w:r>
              <w:rPr/>
              <w:t> </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516"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3"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753"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94"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54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Gang Li</w:t>
            </w:r>
            <w:r>
              <w:rPr>
                <w:rFonts w:ascii="Times New Roman;Times;Serif" w:hAnsi="Times New Roman;Times;Serif"/>
                <w:position w:val="7"/>
                <w:sz w:val="16"/>
                <w:sz w:val="20"/>
              </w:rPr>
              <w:t>(2)</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33,750</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70,875</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5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5.72</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5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Jihong Cai</w:t>
            </w:r>
            <w:r>
              <w:rPr>
                <w:rFonts w:ascii="Times New Roman;Times;Serif" w:hAnsi="Times New Roman;Times;Serif"/>
                <w:position w:val="7"/>
                <w:sz w:val="16"/>
                <w:sz w:val="20"/>
              </w:rPr>
              <w:t>(3)</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0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3,375</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5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5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35" w:type="dxa"/>
            <w:tcBorders/>
            <w:vAlign w:val="center"/>
          </w:tcPr>
          <w:p>
            <w:pPr>
              <w:pStyle w:val="TableContents"/>
              <w:bidi w:val="0"/>
              <w:spacing w:before="0" w:after="283"/>
              <w:ind w:left="0" w:right="0" w:hanging="180"/>
              <w:jc w:val="left"/>
              <w:rPr/>
            </w:pPr>
            <w:r>
              <w:rPr/>
              <w:t> </w:t>
            </w:r>
          </w:p>
        </w:tc>
      </w:tr>
      <w:tr>
        <w:trPr/>
        <w:tc>
          <w:tcPr>
            <w:tcW w:w="54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Bin Li</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5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5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Shuaiheng Zhang</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0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5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5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35" w:type="dxa"/>
            <w:tcBorders/>
            <w:vAlign w:val="center"/>
          </w:tcPr>
          <w:p>
            <w:pPr>
              <w:pStyle w:val="TableContents"/>
              <w:bidi w:val="0"/>
              <w:spacing w:before="0" w:after="283"/>
              <w:ind w:left="0" w:right="0" w:hanging="180"/>
              <w:jc w:val="left"/>
              <w:rPr/>
            </w:pPr>
            <w:r>
              <w:rPr/>
              <w:t> </w:t>
            </w:r>
          </w:p>
        </w:tc>
      </w:tr>
      <w:tr>
        <w:trPr/>
        <w:tc>
          <w:tcPr>
            <w:tcW w:w="54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Jie Li</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5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54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All directors and executive officers as a group (five individuals):</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0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37,125</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5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70,875</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5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5.73</w:t>
            </w:r>
          </w:p>
        </w:tc>
        <w:tc>
          <w:tcPr>
            <w:tcW w:w="135" w:type="dxa"/>
            <w:tcBorders/>
            <w:vAlign w:val="center"/>
          </w:tcPr>
          <w:p>
            <w:pPr>
              <w:pStyle w:val="TableContents"/>
              <w:bidi w:val="0"/>
              <w:spacing w:before="0" w:after="283"/>
              <w:ind w:left="0" w:right="0" w:hanging="180"/>
              <w:jc w:val="left"/>
              <w:rPr/>
            </w:pPr>
            <w:r>
              <w:rPr/>
              <w:t> </w:t>
            </w:r>
          </w:p>
        </w:tc>
      </w:tr>
      <w:tr>
        <w:trPr/>
        <w:tc>
          <w:tcPr>
            <w:tcW w:w="546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 Shareholders:</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23"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57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5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Danton Global Limited</w:t>
            </w:r>
            <w:r>
              <w:rPr>
                <w:rFonts w:ascii="Times New Roman;Times;Serif" w:hAnsi="Times New Roman;Times;Serif"/>
                <w:position w:val="7"/>
                <w:sz w:val="16"/>
                <w:sz w:val="20"/>
              </w:rPr>
              <w:t>(2)</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0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33,750</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5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70,875</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5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5.72</w:t>
            </w:r>
          </w:p>
        </w:tc>
        <w:tc>
          <w:tcPr>
            <w:tcW w:w="135" w:type="dxa"/>
            <w:tcBorders/>
            <w:vAlign w:val="center"/>
          </w:tcPr>
          <w:p>
            <w:pPr>
              <w:pStyle w:val="TableContents"/>
              <w:bidi w:val="0"/>
              <w:spacing w:before="0" w:after="283"/>
              <w:ind w:left="0" w:right="0" w:hanging="180"/>
              <w:jc w:val="left"/>
              <w:rPr/>
            </w:pPr>
            <w:r>
              <w:rPr/>
              <w:t> </w:t>
            </w:r>
          </w:p>
        </w:tc>
      </w:tr>
      <w:tr>
        <w:trPr/>
        <w:tc>
          <w:tcPr>
            <w:tcW w:w="54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LLQ Group LTD</w:t>
            </w:r>
            <w:r>
              <w:rPr>
                <w:rFonts w:ascii="Times New Roman;Times;Serif" w:hAnsi="Times New Roman;Times;Serif"/>
                <w:position w:val="7"/>
                <w:sz w:val="16"/>
                <w:sz w:val="20"/>
              </w:rPr>
              <w:t>(4)</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3,750,000</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5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6.00</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5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WK Group LTD</w:t>
            </w:r>
            <w:r>
              <w:rPr>
                <w:rFonts w:ascii="Times New Roman;Times;Serif" w:hAnsi="Times New Roman;Times;Serif"/>
                <w:position w:val="7"/>
                <w:sz w:val="16"/>
                <w:sz w:val="20"/>
              </w:rPr>
              <w:t>(5)</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0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3,750,000</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5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5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6.00</w:t>
            </w:r>
          </w:p>
        </w:tc>
        <w:tc>
          <w:tcPr>
            <w:tcW w:w="135" w:type="dxa"/>
            <w:tcBorders/>
            <w:vAlign w:val="center"/>
          </w:tcPr>
          <w:p>
            <w:pPr>
              <w:pStyle w:val="TableContents"/>
              <w:bidi w:val="0"/>
              <w:spacing w:before="0" w:after="283"/>
              <w:ind w:left="0" w:right="0" w:hanging="180"/>
              <w:jc w:val="left"/>
              <w:rPr/>
            </w:pPr>
            <w:r>
              <w:rPr/>
              <w:t> </w:t>
            </w:r>
          </w:p>
        </w:tc>
      </w:tr>
      <w:tr>
        <w:trPr/>
        <w:tc>
          <w:tcPr>
            <w:tcW w:w="54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YYJ Group LTD</w:t>
            </w:r>
            <w:r>
              <w:rPr>
                <w:rFonts w:ascii="Times New Roman;Times;Serif" w:hAnsi="Times New Roman;Times;Serif"/>
                <w:position w:val="7"/>
                <w:sz w:val="16"/>
                <w:sz w:val="20"/>
              </w:rPr>
              <w:t>(6)</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3,750,000</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5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6.00</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5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Hong Kong Mylar Industrial Limited</w:t>
            </w:r>
            <w:r>
              <w:rPr>
                <w:rFonts w:ascii="Times New Roman;Times;Serif" w:hAnsi="Times New Roman;Times;Serif"/>
                <w:position w:val="7"/>
                <w:sz w:val="16"/>
                <w:sz w:val="20"/>
              </w:rPr>
              <w:t>(7)</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0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3,750,000</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5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5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6.00</w:t>
            </w:r>
          </w:p>
        </w:tc>
        <w:tc>
          <w:tcPr>
            <w:tcW w:w="135" w:type="dxa"/>
            <w:tcBorders/>
            <w:vAlign w:val="center"/>
          </w:tcPr>
          <w:p>
            <w:pPr>
              <w:pStyle w:val="TableContents"/>
              <w:bidi w:val="0"/>
              <w:spacing w:before="0" w:after="283"/>
              <w:ind w:left="0" w:right="0" w:hanging="180"/>
              <w:jc w:val="left"/>
              <w:rPr/>
            </w:pPr>
            <w:r>
              <w:rPr/>
              <w:t> </w:t>
            </w:r>
          </w:p>
        </w:tc>
      </w:tr>
      <w:tr>
        <w:trPr/>
        <w:tc>
          <w:tcPr>
            <w:tcW w:w="54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Domat (Hong Kong) Holding Limited</w:t>
            </w:r>
            <w:r>
              <w:rPr>
                <w:rFonts w:ascii="Times New Roman;Times;Serif" w:hAnsi="Times New Roman;Times;Serif"/>
                <w:position w:val="7"/>
                <w:sz w:val="16"/>
                <w:sz w:val="20"/>
              </w:rPr>
              <w:t>(8)</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3,750,000</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5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6.00</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5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Rino Group LTD</w:t>
            </w:r>
            <w:r>
              <w:rPr>
                <w:rFonts w:ascii="Times New Roman;Times;Serif" w:hAnsi="Times New Roman;Times;Serif"/>
                <w:position w:val="7"/>
                <w:sz w:val="16"/>
                <w:sz w:val="20"/>
              </w:rPr>
              <w:t>(9)</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0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3,750,000</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5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5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6.00</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Less than 1%</w:t>
            </w:r>
          </w:p>
        </w:tc>
      </w:tr>
      <w:tr>
        <w:trPr/>
        <w:tc>
          <w:tcPr>
            <w:tcW w:w="17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both"/>
              <w:rPr/>
            </w:pPr>
            <w:r>
              <w:rPr/>
              <w:t> </w:t>
            </w:r>
          </w:p>
        </w:tc>
      </w:tr>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voting power with respect to all of our Class A Ordinary Shares and Class B Ordinary Shares, voting as a single class. Each holder of Class A Ordinary Shares is entitled to one vote per one Class A Ordinary Share and each holder of Class B Ordinary Shares is entitled to 50 votes per one Class B Ordinary Share.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B Ordinary Shares are convertible into Class A Ordinary Shares at any time after issuance at the option of the holder on a one-to-one basis. The number and percentage of Class A Ordinary Shares exclude Class A Ordinary Shares convertible from Class B Ordinary Shares as the beneficial ownership of Class B Ordinary Shares is presented separately.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Unless otherwise indicated, the business address of each of the individuals is B9 Xinjiang Chuangbo Zhigu Industrial Park, No. 100 Guangyuan Road, Shuimogou District, Urumqi, Xinjiang, China.</w:t>
            </w:r>
          </w:p>
        </w:tc>
      </w:tr>
      <w:tr>
        <w:trPr/>
        <w:tc>
          <w:tcPr>
            <w:tcW w:w="248" w:type="dxa"/>
            <w:tcBorders/>
            <w:vAlign w:val="center"/>
          </w:tcPr>
          <w:p>
            <w:pPr>
              <w:pStyle w:val="TableContents"/>
              <w:bidi w:val="0"/>
              <w:spacing w:before="0" w:after="283"/>
              <w:jc w:val="left"/>
              <w:rPr/>
            </w:pPr>
            <w:r>
              <w:rPr/>
              <w:t> </w:t>
            </w:r>
          </w:p>
        </w:tc>
        <w:tc>
          <w:tcPr>
            <w:tcW w:w="9957" w:type="dxa"/>
            <w:tcBorders/>
            <w:vAlign w:val="center"/>
          </w:tcPr>
          <w:p>
            <w:pPr>
              <w:pStyle w:val="TableContents"/>
              <w:bidi w:val="0"/>
              <w:spacing w:before="0" w:after="283"/>
              <w:jc w:val="both"/>
              <w:rPr/>
            </w:pPr>
            <w:r>
              <w:rPr/>
              <w:t> </w:t>
            </w:r>
          </w:p>
        </w:tc>
      </w:tr>
      <w:tr>
        <w:trPr/>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Represents 33,750 Class A Ordinary Shares and 70,875 Class B Ordinary Shares held by Danton Global Limited, a British Virgin Islands company, which is 100% owned by Mr. Gang Li. The registered address of Danton Global Limited is 3</w:t>
            </w:r>
            <w:r>
              <w:rPr>
                <w:rFonts w:ascii="Times New Roman;Times;Serif" w:hAnsi="Times New Roman;Times;Serif"/>
                <w:position w:val="8"/>
                <w:sz w:val="19"/>
              </w:rPr>
              <w:t>rd</w:t>
            </w:r>
            <w:r>
              <w:rPr>
                <w:rFonts w:ascii="Times New Roman;Times;Serif" w:hAnsi="Times New Roman;Times;Serif"/>
              </w:rPr>
              <w:t xml:space="preserve"> Floor, J &amp; C Building, Road Town, Tortola, British Virgin Islands, VG1110.</w:t>
            </w:r>
          </w:p>
        </w:tc>
      </w:tr>
      <w:tr>
        <w:trPr/>
        <w:tc>
          <w:tcPr>
            <w:tcW w:w="248" w:type="dxa"/>
            <w:tcBorders/>
            <w:vAlign w:val="center"/>
          </w:tcPr>
          <w:p>
            <w:pPr>
              <w:pStyle w:val="TableContents"/>
              <w:bidi w:val="0"/>
              <w:spacing w:before="0" w:after="283"/>
              <w:jc w:val="left"/>
              <w:rPr/>
            </w:pPr>
            <w:r>
              <w:rPr/>
              <w:t> </w:t>
            </w:r>
          </w:p>
        </w:tc>
        <w:tc>
          <w:tcPr>
            <w:tcW w:w="9957" w:type="dxa"/>
            <w:tcBorders/>
            <w:vAlign w:val="center"/>
          </w:tcPr>
          <w:p>
            <w:pPr>
              <w:pStyle w:val="TableContents"/>
              <w:bidi w:val="0"/>
              <w:spacing w:before="0" w:after="283"/>
              <w:jc w:val="both"/>
              <w:rPr/>
            </w:pPr>
            <w:r>
              <w:rPr/>
              <w:t> </w:t>
            </w:r>
          </w:p>
        </w:tc>
      </w:tr>
      <w:tr>
        <w:trPr/>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3,375 Class A Ordinary Shares held by Haily Global Limited, a British Virgin Islands company, which is 100% owned by Ms. Jihong Cai. The registered address of Haily Global Limited is 3</w:t>
            </w:r>
            <w:r>
              <w:rPr>
                <w:rFonts w:ascii="Times New Roman;Times;Serif" w:hAnsi="Times New Roman;Times;Serif"/>
                <w:position w:val="7"/>
                <w:sz w:val="16"/>
                <w:sz w:val="20"/>
              </w:rPr>
              <w:t>rd</w:t>
            </w:r>
            <w:r>
              <w:rPr>
                <w:rFonts w:ascii="Times New Roman;Times;Serif" w:hAnsi="Times New Roman;Times;Serif"/>
                <w:sz w:val="20"/>
              </w:rPr>
              <w:t xml:space="preserve"> Floor, J &amp; C Building, Road Town, Tortola, British Virgin Islands, VG1110.</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99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LLQ Group LTD is controlled by Lanqing Li. The registered address of LLQ Group LTD is Craigmuir Chambers, Roadwn, Tortola, VG 1110, British Virgin Islands.</w:t>
            </w:r>
          </w:p>
        </w:tc>
      </w:tr>
      <w:tr>
        <w:trPr/>
        <w:tc>
          <w:tcPr>
            <w:tcW w:w="255" w:type="dxa"/>
            <w:tcBorders/>
            <w:vAlign w:val="center"/>
          </w:tcPr>
          <w:p>
            <w:pPr>
              <w:pStyle w:val="TableContents"/>
              <w:bidi w:val="0"/>
              <w:spacing w:before="0" w:after="283"/>
              <w:jc w:val="both"/>
              <w:rPr/>
            </w:pPr>
            <w:r>
              <w:rPr/>
              <w:t> </w:t>
            </w:r>
          </w:p>
        </w:tc>
        <w:tc>
          <w:tcPr>
            <w:tcW w:w="9950" w:type="dxa"/>
            <w:tcBorders/>
            <w:vAlign w:val="center"/>
          </w:tcPr>
          <w:p>
            <w:pPr>
              <w:pStyle w:val="TableContents"/>
              <w:bidi w:val="0"/>
              <w:spacing w:before="0" w:after="283"/>
              <w:jc w:val="both"/>
              <w:rPr/>
            </w:pPr>
            <w:r>
              <w:rPr/>
              <w:t> </w:t>
            </w:r>
          </w:p>
        </w:tc>
      </w:tr>
      <w:tr>
        <w:trPr/>
        <w:tc>
          <w:tcPr>
            <w:tcW w:w="2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w:t>
            </w:r>
          </w:p>
        </w:tc>
        <w:tc>
          <w:tcPr>
            <w:tcW w:w="99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WK Group LTD is controlled by Kun Wang. The registered address of WK Group LTD is Craigmuir Chambers, Roadwn, Tortola, VG 1110, British Virgin Islands.</w:t>
            </w:r>
          </w:p>
        </w:tc>
      </w:tr>
      <w:tr>
        <w:trPr/>
        <w:tc>
          <w:tcPr>
            <w:tcW w:w="255" w:type="dxa"/>
            <w:tcBorders/>
            <w:vAlign w:val="center"/>
          </w:tcPr>
          <w:p>
            <w:pPr>
              <w:pStyle w:val="TableContents"/>
              <w:bidi w:val="0"/>
              <w:spacing w:before="0" w:after="283"/>
              <w:jc w:val="both"/>
              <w:rPr/>
            </w:pPr>
            <w:r>
              <w:rPr/>
              <w:t> </w:t>
            </w:r>
          </w:p>
        </w:tc>
        <w:tc>
          <w:tcPr>
            <w:tcW w:w="9950" w:type="dxa"/>
            <w:tcBorders/>
            <w:vAlign w:val="center"/>
          </w:tcPr>
          <w:p>
            <w:pPr>
              <w:pStyle w:val="TableContents"/>
              <w:bidi w:val="0"/>
              <w:spacing w:before="0" w:after="283"/>
              <w:jc w:val="both"/>
              <w:rPr/>
            </w:pPr>
            <w:r>
              <w:rPr/>
              <w:t> </w:t>
            </w:r>
          </w:p>
        </w:tc>
      </w:tr>
      <w:tr>
        <w:trPr/>
        <w:tc>
          <w:tcPr>
            <w:tcW w:w="2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w:t>
            </w:r>
          </w:p>
        </w:tc>
        <w:tc>
          <w:tcPr>
            <w:tcW w:w="99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YYJ Group LTD is controlled by Yingjing Ye. The registered address of YYJ Group LTD is Craigmuir Chambers, Roadwn, Tortola, VG 1110, British Virgin Islands.</w:t>
            </w:r>
          </w:p>
        </w:tc>
      </w:tr>
      <w:tr>
        <w:trPr/>
        <w:tc>
          <w:tcPr>
            <w:tcW w:w="255" w:type="dxa"/>
            <w:tcBorders/>
            <w:vAlign w:val="center"/>
          </w:tcPr>
          <w:p>
            <w:pPr>
              <w:pStyle w:val="TableContents"/>
              <w:bidi w:val="0"/>
              <w:spacing w:before="0" w:after="283"/>
              <w:jc w:val="both"/>
              <w:rPr/>
            </w:pPr>
            <w:r>
              <w:rPr/>
              <w:t> </w:t>
            </w:r>
          </w:p>
        </w:tc>
        <w:tc>
          <w:tcPr>
            <w:tcW w:w="9950" w:type="dxa"/>
            <w:tcBorders/>
            <w:vAlign w:val="center"/>
          </w:tcPr>
          <w:p>
            <w:pPr>
              <w:pStyle w:val="TableContents"/>
              <w:bidi w:val="0"/>
              <w:spacing w:before="0" w:after="283"/>
              <w:jc w:val="both"/>
              <w:rPr/>
            </w:pPr>
            <w:r>
              <w:rPr/>
              <w:t> </w:t>
            </w:r>
          </w:p>
        </w:tc>
      </w:tr>
      <w:tr>
        <w:trPr/>
        <w:tc>
          <w:tcPr>
            <w:tcW w:w="2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w:t>
            </w:r>
          </w:p>
        </w:tc>
        <w:tc>
          <w:tcPr>
            <w:tcW w:w="995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Mylar Industrial Limited is controlled by Jianhai Lin. The registered address of Hong Kong Mylar Industrial Limited is Room 1002, 10/F, Easey Commercial Building, 253-261 Hennessy Road, Wan Chai, Hong Kong.</w:t>
            </w:r>
          </w:p>
        </w:tc>
      </w:tr>
      <w:tr>
        <w:trPr/>
        <w:tc>
          <w:tcPr>
            <w:tcW w:w="255" w:type="dxa"/>
            <w:tcBorders/>
            <w:vAlign w:val="center"/>
          </w:tcPr>
          <w:p>
            <w:pPr>
              <w:pStyle w:val="TableContents"/>
              <w:bidi w:val="0"/>
              <w:spacing w:before="0" w:after="283"/>
              <w:jc w:val="both"/>
              <w:rPr/>
            </w:pPr>
            <w:r>
              <w:rPr/>
              <w:t> </w:t>
            </w:r>
          </w:p>
        </w:tc>
        <w:tc>
          <w:tcPr>
            <w:tcW w:w="9950" w:type="dxa"/>
            <w:tcBorders/>
            <w:vAlign w:val="center"/>
          </w:tcPr>
          <w:p>
            <w:pPr>
              <w:pStyle w:val="TableContents"/>
              <w:bidi w:val="0"/>
              <w:spacing w:before="0" w:after="283"/>
              <w:jc w:val="both"/>
              <w:rPr/>
            </w:pPr>
            <w:r>
              <w:rPr/>
              <w:t> </w:t>
            </w:r>
          </w:p>
        </w:tc>
      </w:tr>
      <w:tr>
        <w:trPr/>
        <w:tc>
          <w:tcPr>
            <w:tcW w:w="2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w:t>
            </w:r>
          </w:p>
        </w:tc>
        <w:tc>
          <w:tcPr>
            <w:tcW w:w="99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Domat (Hong Kong) Holding Limited is controlled by Ruoru Wu. The registered address of Domat (Hong Kong) Holding Limited is Room 1009, 10/F, Front Block, Ming Sang Industrial Building, 19 Hing Yip Street, Kwun Tong, Kowloon, Hong Kong.</w:t>
            </w:r>
          </w:p>
        </w:tc>
      </w:tr>
      <w:tr>
        <w:trPr/>
        <w:tc>
          <w:tcPr>
            <w:tcW w:w="255" w:type="dxa"/>
            <w:tcBorders/>
            <w:vAlign w:val="center"/>
          </w:tcPr>
          <w:p>
            <w:pPr>
              <w:pStyle w:val="TableContents"/>
              <w:bidi w:val="0"/>
              <w:spacing w:before="0" w:after="283"/>
              <w:jc w:val="both"/>
              <w:rPr/>
            </w:pPr>
            <w:r>
              <w:rPr/>
              <w:t> </w:t>
            </w:r>
          </w:p>
        </w:tc>
        <w:tc>
          <w:tcPr>
            <w:tcW w:w="9950" w:type="dxa"/>
            <w:tcBorders/>
            <w:vAlign w:val="center"/>
          </w:tcPr>
          <w:p>
            <w:pPr>
              <w:pStyle w:val="TableContents"/>
              <w:bidi w:val="0"/>
              <w:spacing w:before="0" w:after="283"/>
              <w:jc w:val="both"/>
              <w:rPr/>
            </w:pPr>
            <w:r>
              <w:rPr/>
              <w:t> </w:t>
            </w:r>
          </w:p>
        </w:tc>
      </w:tr>
      <w:tr>
        <w:trPr/>
        <w:tc>
          <w:tcPr>
            <w:tcW w:w="2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w:t>
            </w:r>
          </w:p>
        </w:tc>
        <w:tc>
          <w:tcPr>
            <w:tcW w:w="99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Rino Group LTD is controlled by Edward Nie. The registered address of Rino Group LTD is Aegis International Group Limited of Aegis Chambers, 1st Floor, Ellen Skelton Building, 3076 Sir Francis Drake’s Highway, Road Town, Tortola, VG 1110, British Virgin Islands.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approximately 0.07% of our issued and outstanding Class A Ordinary Shares are held in the United States by two record holders, Danton Global Limited, a British Virgin Islands company which is 100% owned by Mr. Gang Li and Cede and Company, and 100% of our issued and outstanding Class B Ordinary Shares are held by one record holder, Danton Global Limited,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our knowledge, the Company is not directly or indirectly owned or controlled by another corporation(s), by any foreign government, or by any other natural or legal person(s) severally or jointly. We are not aware of any arrangement that may, at a subsequent date, result in a change of control of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Disclosure of a registrant’s action to recover erroneously awarded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Item 7. MAJOR SHAREHOLDERS AND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Major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6. Directors, Senior Management and Employees-E. Share Ownership.”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VIE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3. Key Information-Our Corporate Structure-The United Family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Transactions with Related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and as of the date of this annual report, we have engaged in the following related party transactions. The relationship and the nature of related party transactions are summarized as follow: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510"/>
        <w:gridCol w:w="90"/>
        <w:gridCol w:w="5605"/>
      </w:tblGrid>
      <w:tr>
        <w:trPr/>
        <w:tc>
          <w:tcPr>
            <w:tcW w:w="4510" w:type="dxa"/>
            <w:tcBorders>
              <w:bottom w:val="single" w:sz="12" w:space="0" w:color="000000"/>
            </w:tcBorders>
            <w:vAlign w:val="center"/>
          </w:tcPr>
          <w:p>
            <w:pPr>
              <w:pStyle w:val="TableContents"/>
              <w:bidi w:val="0"/>
              <w:spacing w:before="0" w:after="283"/>
              <w:ind w:left="0" w:right="0" w:hanging="180"/>
              <w:jc w:val="left"/>
              <w:rPr>
                <w:rFonts w:ascii="Times New Roman;Times;Serif" w:hAnsi="Times New Roman;Times;Serif"/>
                <w:b/>
                <w:sz w:val="20"/>
              </w:rPr>
            </w:pPr>
            <w:r>
              <w:rPr>
                <w:rFonts w:ascii="Times New Roman;Times;Serif" w:hAnsi="Times New Roman;Times;Serif"/>
                <w:b/>
                <w:sz w:val="20"/>
              </w:rPr>
              <w:t>Name of Related Party</w:t>
            </w:r>
          </w:p>
        </w:tc>
        <w:tc>
          <w:tcPr>
            <w:tcW w:w="90" w:type="dxa"/>
            <w:tcBorders/>
            <w:tcMar>
              <w:bottom w:w="0" w:type="dxa"/>
            </w:tcMar>
            <w:vAlign w:val="center"/>
          </w:tcPr>
          <w:p>
            <w:pPr>
              <w:pStyle w:val="TableContents"/>
              <w:bidi w:val="0"/>
              <w:spacing w:before="0" w:after="283"/>
              <w:jc w:val="left"/>
              <w:rPr/>
            </w:pPr>
            <w:r>
              <w:rPr/>
              <w:t> </w:t>
            </w:r>
          </w:p>
        </w:tc>
        <w:tc>
          <w:tcPr>
            <w:tcW w:w="5605" w:type="dxa"/>
            <w:tcBorders>
              <w:bottom w:val="single" w:sz="12" w:space="0" w:color="000000"/>
            </w:tcBorders>
            <w:vAlign w:val="center"/>
          </w:tcPr>
          <w:p>
            <w:pPr>
              <w:pStyle w:val="TableContents"/>
              <w:bidi w:val="0"/>
              <w:spacing w:before="0" w:after="283"/>
              <w:ind w:left="0" w:right="0" w:hanging="180"/>
              <w:jc w:val="both"/>
              <w:rPr>
                <w:rFonts w:ascii="Times New Roman;Times;Serif" w:hAnsi="Times New Roman;Times;Serif"/>
                <w:b/>
                <w:sz w:val="20"/>
              </w:rPr>
            </w:pPr>
            <w:r>
              <w:rPr>
                <w:rFonts w:ascii="Times New Roman;Times;Serif" w:hAnsi="Times New Roman;Times;Serif"/>
                <w:b/>
                <w:sz w:val="20"/>
              </w:rPr>
              <w:t>Relationship to Us</w:t>
            </w:r>
          </w:p>
        </w:tc>
      </w:tr>
      <w:tr>
        <w:trPr/>
        <w:tc>
          <w:tcPr>
            <w:tcW w:w="45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Gang Li</w:t>
            </w:r>
          </w:p>
        </w:tc>
        <w:tc>
          <w:tcPr>
            <w:tcW w:w="90" w:type="dxa"/>
            <w:tcBorders/>
            <w:shd w:fill="CCEEFF" w:val="clear"/>
            <w:tcMar>
              <w:bottom w:w="0" w:type="dxa"/>
            </w:tcMar>
            <w:vAlign w:val="center"/>
          </w:tcPr>
          <w:p>
            <w:pPr>
              <w:pStyle w:val="TableContents"/>
              <w:bidi w:val="0"/>
              <w:spacing w:before="0" w:after="283"/>
              <w:jc w:val="left"/>
              <w:rPr/>
            </w:pPr>
            <w:r>
              <w:rPr/>
              <w:t> </w:t>
            </w:r>
          </w:p>
        </w:tc>
        <w:tc>
          <w:tcPr>
            <w:tcW w:w="5605" w:type="dxa"/>
            <w:tcBorders/>
            <w:shd w:fill="CCEEFF" w:val="clear"/>
            <w:tcMar>
              <w:bottom w:w="0" w:type="dxa"/>
            </w:tcMar>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Our chief executive officer, director, and chairman of the board of directors</w:t>
            </w:r>
          </w:p>
        </w:tc>
      </w:tr>
      <w:tr>
        <w:trPr/>
        <w:tc>
          <w:tcPr>
            <w:tcW w:w="451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Ying Xiong</w:t>
            </w:r>
          </w:p>
        </w:tc>
        <w:tc>
          <w:tcPr>
            <w:tcW w:w="90" w:type="dxa"/>
            <w:tcBorders/>
            <w:tcMar>
              <w:bottom w:w="0" w:type="dxa"/>
            </w:tcMar>
            <w:vAlign w:val="center"/>
          </w:tcPr>
          <w:p>
            <w:pPr>
              <w:pStyle w:val="TableContents"/>
              <w:bidi w:val="0"/>
              <w:spacing w:before="0" w:after="283"/>
              <w:jc w:val="left"/>
              <w:rPr/>
            </w:pPr>
            <w:r>
              <w:rPr/>
              <w:t> </w:t>
            </w:r>
          </w:p>
        </w:tc>
        <w:tc>
          <w:tcPr>
            <w:tcW w:w="5605" w:type="dxa"/>
            <w:tcBorders/>
            <w:tcMar>
              <w:bottom w:w="0" w:type="dxa"/>
            </w:tcMar>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Mr. Gang Li’s family member</w:t>
            </w:r>
          </w:p>
        </w:tc>
      </w:tr>
      <w:tr>
        <w:trPr/>
        <w:tc>
          <w:tcPr>
            <w:tcW w:w="45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Urumqi Plastic Surgery Hospital Co., Ltd.</w:t>
            </w:r>
          </w:p>
        </w:tc>
        <w:tc>
          <w:tcPr>
            <w:tcW w:w="90" w:type="dxa"/>
            <w:tcBorders/>
            <w:shd w:fill="CCEEFF" w:val="clear"/>
            <w:tcMar>
              <w:bottom w:w="0" w:type="dxa"/>
            </w:tcMar>
            <w:vAlign w:val="center"/>
          </w:tcPr>
          <w:p>
            <w:pPr>
              <w:pStyle w:val="TableContents"/>
              <w:bidi w:val="0"/>
              <w:spacing w:before="0" w:after="283"/>
              <w:jc w:val="left"/>
              <w:rPr/>
            </w:pPr>
            <w:r>
              <w:rPr/>
              <w:t> </w:t>
            </w:r>
          </w:p>
        </w:tc>
        <w:tc>
          <w:tcPr>
            <w:tcW w:w="5605" w:type="dxa"/>
            <w:tcBorders/>
            <w:shd w:fill="CCEEFF" w:val="clear"/>
            <w:tcMar>
              <w:bottom w:w="0" w:type="dxa"/>
            </w:tcMar>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Controlled by Mr. Gang Li</w:t>
            </w:r>
          </w:p>
        </w:tc>
      </w:tr>
      <w:tr>
        <w:trPr/>
        <w:tc>
          <w:tcPr>
            <w:tcW w:w="451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Baolin Wang</w:t>
            </w:r>
          </w:p>
        </w:tc>
        <w:tc>
          <w:tcPr>
            <w:tcW w:w="90" w:type="dxa"/>
            <w:tcBorders/>
            <w:tcMar>
              <w:bottom w:w="0" w:type="dxa"/>
            </w:tcMar>
            <w:vAlign w:val="center"/>
          </w:tcPr>
          <w:p>
            <w:pPr>
              <w:pStyle w:val="TableContents"/>
              <w:bidi w:val="0"/>
              <w:spacing w:before="0" w:after="283"/>
              <w:jc w:val="left"/>
              <w:rPr/>
            </w:pPr>
            <w:r>
              <w:rPr/>
              <w:t> </w:t>
            </w:r>
          </w:p>
        </w:tc>
        <w:tc>
          <w:tcPr>
            <w:tcW w:w="5605" w:type="dxa"/>
            <w:tcBorders/>
            <w:tcMar>
              <w:bottom w:w="0" w:type="dxa"/>
            </w:tcMar>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the legal representative of Xinjiang United Family</w:t>
            </w:r>
          </w:p>
        </w:tc>
      </w:tr>
      <w:tr>
        <w:trPr/>
        <w:tc>
          <w:tcPr>
            <w:tcW w:w="45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Urumqi Meihe Cancer Rehabilitation Hospital Co., Ltd.</w:t>
            </w:r>
          </w:p>
        </w:tc>
        <w:tc>
          <w:tcPr>
            <w:tcW w:w="90" w:type="dxa"/>
            <w:tcBorders/>
            <w:shd w:fill="CCEEFF" w:val="clear"/>
            <w:tcMar>
              <w:bottom w:w="0" w:type="dxa"/>
            </w:tcMar>
            <w:vAlign w:val="center"/>
          </w:tcPr>
          <w:p>
            <w:pPr>
              <w:pStyle w:val="TableContents"/>
              <w:bidi w:val="0"/>
              <w:spacing w:before="0" w:after="283"/>
              <w:jc w:val="left"/>
              <w:rPr/>
            </w:pPr>
            <w:r>
              <w:rPr/>
              <w:t> </w:t>
            </w:r>
          </w:p>
        </w:tc>
        <w:tc>
          <w:tcPr>
            <w:tcW w:w="5605" w:type="dxa"/>
            <w:tcBorders/>
            <w:shd w:fill="CCEEFF" w:val="clear"/>
            <w:tcMar>
              <w:bottom w:w="0" w:type="dxa"/>
            </w:tcMar>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Controlled by Mrs. Ying Xiong</w:t>
            </w:r>
          </w:p>
        </w:tc>
      </w:tr>
      <w:tr>
        <w:trPr/>
        <w:tc>
          <w:tcPr>
            <w:tcW w:w="451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Urumqi Mary Maternity and Gynecology Hospital Co., Ltd.</w:t>
            </w:r>
          </w:p>
        </w:tc>
        <w:tc>
          <w:tcPr>
            <w:tcW w:w="90" w:type="dxa"/>
            <w:tcBorders/>
            <w:tcMar>
              <w:bottom w:w="0" w:type="dxa"/>
            </w:tcMar>
            <w:vAlign w:val="center"/>
          </w:tcPr>
          <w:p>
            <w:pPr>
              <w:pStyle w:val="TableContents"/>
              <w:bidi w:val="0"/>
              <w:spacing w:before="0" w:after="283"/>
              <w:jc w:val="left"/>
              <w:rPr/>
            </w:pPr>
            <w:r>
              <w:rPr/>
              <w:t> </w:t>
            </w:r>
          </w:p>
        </w:tc>
        <w:tc>
          <w:tcPr>
            <w:tcW w:w="560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Controlled by Mr. Gang Li</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Premises Use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 Premises Use Agreement dated April 30, 2020 and a Supplemental Agreement dated June 18, 2020, Urumqi Plastic Surgery Hospital Co., Ltd., a PRC company controlled by our Chairman, Mr. Gang Li, provided approximately 5,382 square feet office space for our headquarters and 10,763 square feet for the old central factory of the PRC Stores without charge. The term of the agreement is from January 1, 2020 to June 25, 2028, unless otherwise terminated by either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Other related party transaction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acquired a commercial property unit from its controlling shareholder, Mr. Gang Li, through a debt settlement arrangement. The transaction involved the settlement of amounts due from the controlling shareholder, whereby the property was transferred to the Company in satisfaction of the outstanding balance. The Company determined the value of the property based on an independent third-party valuation at the acquisition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Due to a Related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both amounts due from and due to Mr. Gang Li arising from funding arrangements between the Company’s PRC and U.S. entities. These balances were settled through Mr. Gang Li acting as the central counterparty. Pursuant to an agreement between the Company and Mr. Gang Li, such balances are settled on a net basis, and management has presented the net amount due to the related party in the consolidated financial statements. On a gross basis, the Company had amounts due from the related party of approximately $2.1 million and amounts due to the related party of approximately $2.2 million as of December 31, 2025. Management believes that the criteria for offsetting under ASC 210 have been met.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Guarantees by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12, 2024, Xinjiang United Family entered into a loan agreement with Bank of China to borrow RMB10.0 million ($1,370,145) as working capital for a year, with a maturity date of September 11, 2025. The loan bears a fixed interest rate of 3.45% per annum. The Company is required to make a quarterly installment payment of RMB 2.0 million ($274,029) within the term of the loan, with last installment of RMB 4.0 million ($548,058) to be paid at maturity date. The loan is guaranteed by Mr. Gang Li and his family member, Ms. Ying Xiong. In addition, Xinjiang United Family pledged its trademark rights as collateral to guarantee the Company’s loan from Bank of China. The loan was repaid in full upon maturity.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20, 2024, Xinjiang United Family entered into a loan agreement with Huaxia Bank to borrow RMB3.0 million ($411,043) as working capital for three months, with a maturity date of March 19, 2025. The loan bears a fixed interest rate of 5.00% per annum. The loan was guaranteed by Ms. Baolin Wang, the legal representative of Xinjiang United Family, and Urumqi Plastic Surgery Hospital Co., Ltd., a related party that is controlled by Mr. Gang Li, the Chairman of the Company. The loan was repaid on March 19,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Subsequently, on March 24, 2025, Xinjiang United Family entered into another loan agreement with Huaxia Bank to borrow RMB3.0 million ($428,844) as working capital for a year, with a maturity date of March 24, 2026. This loan bears a fixed interest rate of 3.5% per annum. The loan was guaranteed by Ms. Baolin Wang, and Urumqi Meihe Cancer Rehabilitation Hospital Co., Ltd., a related party that is controlled by Mr. Gang Li’s family member. The loan was repaid in full upon maturity.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22, 2025, Xinjiang United Family entered into a loan agreement with Tianshan Rural Commercial Bank to borrow RMB12.0 million ($1,715,376) as working capital for three years, with a maturity date of January 19, 2028. The loan bears a fixed interest rate of 5.0% per annum. The Company is required to make a semi-annual installment payment of RMB 0.6 million ($85,769) within the term of the loan, with last installment of RMB 9.0 million ($1,286,532) to be paid at maturity date. The loan is guaranteed by Mr. Gang Li and his family member, Ms. Ying Xiong, as well as Urumqi Plastic Surgery Hospital Co., Ltd., a related party that is controlled by Mr. Gang Li. As of date of this report, the loan was repaid as scheduled.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24, 2025, Xinjiang United Family entered into another loan agreement with Tianshan Rural Commercial Bank to borrow RMB10.0 million ($1,429,480) as working capital for two years, with a maturity date of March 23, 2027. The loan bears a fixed interest rate of 4.5% per annum. The Company is required to make a semi-annual installment payment of RMB 0.2 million ($28,590) within the term of the loan, with last installment of RMB 9.4 million ($1,343,711) to be paid at maturity date. The loan is guaranteed by Mr. Gang Li and his family member, Ms. Ying Xiong, and Urumqi Mary Maternity and Gynecology Hospital Co., Ltd., a related party that is controlled by Mr. Gang Li. In addition, the loan is also guaranteed by two third-party companies, as well as these two companies’ legal representatives and their family members. As of date of this report, the loan was repaid as scheduled.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19, 2025, Xinjiang United Family entered into a loan agreement with Bank of China to borrow RMB10.0 million ($1,429,480) as working capital for two years, with a maturity date of June 19, 2027. The loan bears a floating rate of China’s Loan Prime Rate (“LPR”), with every twelve months adjustments starting from the loan disbursement date. The Company is required to make a semi-annual installment payment of RMB 0.3 million ($42,884) within the term of the loan, with last installment of RMB 9.1 million ($1,300,827) to be paid at maturity date. The loan is guaranteed by Mr. Gang Li and his family member, Ms. Ying Xiong. As of date of this report, the loan was repaid as scheduled.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16, 2025, George Chanson Trading entered into a loan agreement with Bank of China to borrow RMB4.2 million ($600,382) as working capital for three years, with a maturity date of September 15, 2028. The loan bears a floating rate of China’s Loan Prime Rate (“LPR”), with every twelve months adjustments starting from the loan disbursement date. The Company is required to make a semi-annual installment payment of RMB 0.2 million ($28,590) within the term of the loan, with last installment of RMB 3.2 million ($457,434) to be paid at maturity date. The loan is guaranteed by Mr. Gang Li and his family member, Ms. Ying Xiong, as well as the other subsidiary of the Company, Xinjiang United Family. As of date of this report, the loan was repaid as scheduled.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Interests of Experts and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Item 8.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Consolidated Statements and Other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appended consolidated financial statements filed as part of this annual report. See “Item 18.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and Administrative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become a party to various legal or administrative proceedings arising in the ordinary course of our business, including actions with respect to intellectual property infringement, violation of third-party licenses or other rights, breach of contract, and labor and employment claims. We are currently not a party to, and we are not aware of any threat of, any legal or administrative proceedings that, in the opinion of our management, are likely to have any material and adverse effect on our business, financial condition, cash flow,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cash transfers and transfers of other assets between our Company, our subsidiaries, and the VIEs, see “Item 3. Key Information-Asset Transfers Between Our Company, Our Subsidiaries, and the VIEs.”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our policy on dividend distributions, see “Item 3. Key Information-Dividends or Distributions Made to our Company and U.S. Investors and Tax Consequences.”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Significant 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disclosed elsewhere in this annual report, we have not experienced any significant changes since the date of our audited consolidated financial statements included in this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Item 9. THE OFFER AND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Offer and Listing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are listed on the Nasdaq Capital Market under the symbol “CHSN.”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are listed on the Nasdaq Capital Market under the symbol “CHSN.”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Selling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Dilution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Expenses of the 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Item 10.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Share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Amended and Restated Memorandum and Articles of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of provisions of our amended and restated memorandum and articles of association are summaries and do not purport to be complete. Reference is made to our amended and restated memorandum and articles of association, copies of which are filed as an exhibit to this annual report (and which is referred to in this section as, respectively, the “memorandum” and the “articles”).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incorporated as an exempted company with limited liability under the Companies Act (Revised) of the Cayman Islands, or the “Cayman Companies Act,” on July 26, 2019. A Cayman Islands exempted company:</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 a company the objects of which are to be carried out mainly outside the Cayman Islands or pursuant to a licence to carry on business in the Cayman Islands;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 prohibited from trading in the Cayman Islands with any person, firm or corporation except in furtherance of the business of the exempted company carried on outside the Cayman Islands, unless that exempted company holds a licence to carry on business in the Cayman Islands under any applicable law;</w:t>
            </w:r>
          </w:p>
        </w:tc>
      </w:tr>
    </w:tbl>
    <w:p>
      <w:pPr>
        <w:pStyle w:val="TextBody"/>
        <w:bidi w:val="0"/>
        <w:spacing w:before="0" w:after="0"/>
        <w:ind w:left="720" w:right="0" w:hanging="36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9"/>
        <w:gridCol w:w="409"/>
        <w:gridCol w:w="9657"/>
      </w:tblGrid>
      <w:tr>
        <w:trPr/>
        <w:tc>
          <w:tcPr>
            <w:tcW w:w="13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pPr>
            <w:r>
              <w:rPr/>
              <w:t>●</w:t>
            </w:r>
          </w:p>
        </w:tc>
        <w:tc>
          <w:tcPr>
            <w:tcW w:w="96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does not have to hold an annual general meeting;</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does not have to make its register of members open to inspection by shareholders of that company (unless it holds a licence to carry on business in the Cayman Islands);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
        <w:gridCol w:w="285"/>
        <w:gridCol w:w="9823"/>
      </w:tblGrid>
      <w:tr>
        <w:trPr/>
        <w:tc>
          <w:tcPr>
            <w:tcW w:w="9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w:t>
            </w:r>
          </w:p>
        </w:tc>
        <w:tc>
          <w:tcPr>
            <w:tcW w:w="982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may obtain an undertaking against the imposition of any future taxation;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
        <w:gridCol w:w="204"/>
        <w:gridCol w:w="9932"/>
      </w:tblGrid>
      <w:tr>
        <w:trPr/>
        <w:tc>
          <w:tcPr>
            <w:tcW w:w="6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w:t>
            </w:r>
          </w:p>
        </w:tc>
        <w:tc>
          <w:tcPr>
            <w:tcW w:w="993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may register by way of continuation in another jurisdiction and be deregistered in the Cayman Islands;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2"/>
        <w:gridCol w:w="418"/>
        <w:gridCol w:w="9645"/>
      </w:tblGrid>
      <w:tr>
        <w:trPr/>
        <w:tc>
          <w:tcPr>
            <w:tcW w:w="142"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pPr>
            <w:r>
              <w:rPr/>
              <w:t>●</w:t>
            </w:r>
          </w:p>
        </w:tc>
        <w:tc>
          <w:tcPr>
            <w:tcW w:w="96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may register as a limited duration company;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2"/>
        <w:gridCol w:w="420"/>
        <w:gridCol w:w="9643"/>
      </w:tblGrid>
      <w:tr>
        <w:trPr/>
        <w:tc>
          <w:tcPr>
            <w:tcW w:w="14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pPr>
            <w:r>
              <w:rPr/>
              <w:t>●</w:t>
            </w:r>
          </w:p>
        </w:tc>
        <w:tc>
          <w:tcPr>
            <w:tcW w:w="96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may register as a segregated portfolio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our authorized share capital is US$412,500 divided into 4,110,000,000 Class A ordinary shares of US$0.0001 par value each and 15,000,000 Class B ordinary shares of US$0.0001 par value each. Holders of Class A Ordinary Shares and Class B Ordinary Shares have the same rights except for voting and conversion rights. In respect of matters requiring a vote of all shareholders by way of poll, each holder of Class A Ordinary Shares will be entitled to one vote per one Class A Ordinary Share and each holder of Class B Ordinary Shares will be entitled to 50 votes per one Class B Ordinary Share. The Class A Ordinary Shares are not convertible into shares of any other class. The Class B Ordinary Shares are convertible into Class A Ordinary Shares at any time after issuance at the option of the holder on a one-to-one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issued and outstanding Class A Ordinary Shares and Class B Ordinary Shares are fully paid and non-assessable. Our Class A Ordinary Shares and Class B Ordinary Shares are issued in registered form, and are issued when registered in our register of members. Unless the board of directors determine otherwise, each holder of our Class A Ordinary Shares or Class B Ordinary Shares will not receive a certificate in respect of such shares. Our shareholders who are non-residents of the Cayman Islands may freely hold and vote their Class A Ordinary Shares and Class B Ordinary Shares. We may not issue shares or warrants to bearer.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Cayman Companies Act, our amended and restated memorandum and articles of association (as amended and/or restated from time to time), and any directions given by ordinary resolution and the rights attaching to any class of existing shares, the directors have general and unconditional authority to allot, grant options over or otherwise dispose of shares to such persons, at such times and on such terms and conditions as they may decide. Such authority could be exercised by the directors to allot shares which carry rights and privileges that are preferential to the rights attaching to Class A Ordinary Shares or Class B Ordinary Shares. No share may be issued at a discount except in accordance with the provisions of the Cayman Companies Act. The directors may refuse to accept any application for shares, and may accept any application in whole or in part, for any reason or for no reason.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Cayman Companies Act and our amended and restated memorandum and articles of association (as amended and/or restated from time to time):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30"/>
        <w:gridCol w:w="9907"/>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from time to time declare dividends (including interim dividends) or other distributions on our shares in issue and authorize payment of the same out of our funds which are lawfully available for that purpose; and</w:t>
            </w:r>
          </w:p>
        </w:tc>
      </w:tr>
    </w:tbl>
    <w:p>
      <w:pPr>
        <w:pStyle w:val="TextBody"/>
        <w:bidi w:val="0"/>
        <w:spacing w:before="0" w:after="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97"/>
        <w:gridCol w:w="9841"/>
      </w:tblGrid>
      <w:tr>
        <w:trPr/>
        <w:tc>
          <w:tcPr>
            <w:tcW w:w="6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w:t>
            </w:r>
          </w:p>
        </w:tc>
        <w:tc>
          <w:tcPr>
            <w:tcW w:w="984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shareholders may, by ordinary resolution, declare dividends but no such dividend shall exceed the amount recommended by the directors.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laws of the Cayman Islands, we may pay a dividend out of either profit or from the share premium account, provided that in no circumstances may a dividend be paid if this would result in the company being unable to pay its debts as they fall due in the ordinary course of business. The directors when paying dividends to shareholders may make such payment either in cash or in specie.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provided by the rights attached to a share, no dividend shall bear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shareholder may participate in a general meeting in person, by proxy, or by other virtual means. At any general meeting, a resolution put to the vote at the meeting shall be decided on a show of hands unless before, or on, the declaration of the result of the show of hands, a poll is duly demanded by: (i) the chairman of the meeting, (ii) at least two members having the right to vote on the resolutions, or (iii) by any member or members present who, individually or collectively, hold at least ten per cent of the voting rights of all those who have a right to vote on the resolutions. Unless a poll is so demanded, a declaration by the chairman as to the result of a resolution and an entry to that effect in the minutes of the meeting shall be conclusive evidence of the outcome of a show of hands, without proof of the number or proportion of the votes recorded in favor of, or against, that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poll is duly demanded, it shall be taken in such manner as the chairman directs and the result of the poll shall be deemed to be the resolution of the meeting at which the poll was demanded. On a poll, each holder of Class A Ordinary Shares shall be entitled to one vote for each Class A Ordinary Share held, and each holder of Class B Ordinary Shares shall be entitled to fifty (50) votes for each Class B Ordinary Share held.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amended and restated memorandum and articles of association, the Class A Ordinary Shares do not carry any rights to be converted into any other class of shares, whilst the Class B Ordinary Shares are convertible, at the option of the holder thereof, into Class A Ordinary Shares on a one-to-one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Variation of Rights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capital is divided into different classes of shares then, the rights attaching to any class of share (unless otherwise provided by the terms of issue of the shares of that class) may be varied either with the consent in writing of the holders of not less than two-thirds of the issued shares of that class, or with the sanction of a special resolution passed by a majority of not less than two-thirds of the holders of shares of the class who (being entitled to do so) vote in person or by proxy at a separate general meeting of the holders of shares of that class.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terms on which a class of shares was issued state otherwise, the rights conferred on the shareholder holding shares of any class shall not be deemed to be varied by the creation or issue of further shares ranking pari passu with the existing shares of that class.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Alteration of Share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Cayman Companies Act, we may, by ordinary resolution:</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72"/>
        <w:gridCol w:w="9866"/>
      </w:tblGrid>
      <w:tr>
        <w:trPr/>
        <w:tc>
          <w:tcPr>
            <w:tcW w:w="6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p>
        </w:tc>
        <w:tc>
          <w:tcPr>
            <w:tcW w:w="986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increase our share capital by new shares of the amount fixed by that ordinary resolution and with the attached rights, priorities and privileges set out in that ordinary resolution;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318"/>
        <w:gridCol w:w="9820"/>
      </w:tblGrid>
      <w:tr>
        <w:trPr/>
        <w:tc>
          <w:tcPr>
            <w:tcW w:w="6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w:t>
            </w:r>
          </w:p>
        </w:tc>
        <w:tc>
          <w:tcPr>
            <w:tcW w:w="98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consolidate and divide all or any of our share capital into shares of larger amount than our existing shares;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95"/>
        <w:gridCol w:w="9843"/>
      </w:tblGrid>
      <w:tr>
        <w:trPr/>
        <w:tc>
          <w:tcPr>
            <w:tcW w:w="6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w:t>
            </w:r>
          </w:p>
        </w:tc>
        <w:tc>
          <w:tcPr>
            <w:tcW w:w="98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convert all or any of our paid up shares into stock, and reconvert that stock into paid up shares of any denomination;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67"/>
        <w:gridCol w:w="9871"/>
      </w:tblGrid>
      <w:tr>
        <w:trPr/>
        <w:tc>
          <w:tcPr>
            <w:tcW w:w="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w:t>
            </w:r>
          </w:p>
        </w:tc>
        <w:tc>
          <w:tcPr>
            <w:tcW w:w="987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sub-divide our shares or any of them into shares of an amount smaller than that fixed, so, however, that in the sub-division, the proportion between the amount paid and the amount, if any, unpaid on each reduced share shall be the same as it was in case of the share from which the reduced share is derived;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51"/>
        <w:gridCol w:w="9887"/>
      </w:tblGrid>
      <w:tr>
        <w:trPr/>
        <w:tc>
          <w:tcPr>
            <w:tcW w:w="6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w:t>
            </w:r>
          </w:p>
        </w:tc>
        <w:tc>
          <w:tcPr>
            <w:tcW w:w="988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cancel shares which, at the date of the passing of that ordinary resolution, have not been taken or agreed to be taken by any person and diminish the amount of our share capital by the amount of the shares so cancelled or, in the case of shares without nominal par value, diminish the number of shares into which our capital is divided.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Cayman Companies Act and to any rights for the time being conferred on the shareholders holding a particular class of shares, we may, by special resolution, reduce our share capital in any way.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Calls on Shares and Forfeiture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allotment, the directors may make calls on the shareholders in respect of any monies unpaid on their shares including any premium and each shareholder shall (subject to receiving at least 14 clear days’ notice specifying when and where payment is to be made), pay to us the amount called on his shares. Shareholders registered as the joint holders of a share shall be jointly and severally liable to pay all calls in respect of the share. If a call remains unpaid after it has become due and payable the person from whom it is due and payable shall pay interest on the amount unpaid from the day it became due and payable until it is paid at the rate fixed by the terms of allotment of the share or in the notice of the call or if no rate is fixed, at the rate of ten percent per annum. The directors may waive payment of the interest wholly or in 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first and paramount lien on all shares (whether fully paid up or not) registered in the name of a shareholder (whether solely or jointly with others). The lien is for all monies payable to us by the shareholder or the shareholder’s estate: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320"/>
        <w:gridCol w:w="9814"/>
      </w:tblGrid>
      <w:tr>
        <w:trPr/>
        <w:tc>
          <w:tcPr>
            <w:tcW w:w="7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p>
        </w:tc>
        <w:tc>
          <w:tcPr>
            <w:tcW w:w="981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either alone or jointly with any other person, whether or not that other person is a shareholder;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1"/>
        <w:gridCol w:w="620"/>
        <w:gridCol w:w="9454"/>
      </w:tblGrid>
      <w:tr>
        <w:trPr/>
        <w:tc>
          <w:tcPr>
            <w:tcW w:w="131"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w:t>
            </w:r>
          </w:p>
        </w:tc>
        <w:tc>
          <w:tcPr>
            <w:tcW w:w="945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whether or not those monies are presently payable.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the directors may declare any share to be wholly or partly exempt from the lien on shares provisions of the articles.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in such manner as the directors may determine, any share on which the sum in respect of which the lien exists is presently payable, if due notice that such sum is payable has been given (as prescribed by the articles) and, within 14 days of the date on which the notice is deemed to be given under the articles, such notice has not been complied 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Unclaimed Dividend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dividend that remains unclaimed for a period of six years after it became due for payment shall be forfeited to, and shall cease to remain owing by,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Forfeiture or Surrender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shareholder fails to pay any call, the directors may give to such shareholder not less than 14 clear days’ notice requiring payment and specifying the amount unpaid including any interest which may have accrued, any expenses which have been incurred by us due to that person’s default and the place where payment is to be made. The notice shall also contain a warning that if the notice is not complied with, the shares in respect of which the call is made will be liable to be forfeited.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such notice is not complied with, the directors may, before the payment required by the notice has been received, resolve that any share the subject of that notice be forfeited (which forfeiture shall include all dividends or other monies payable in respect of the forfeited share and not paid before such forfeiture).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forfeited share may be sold, re-allotted or otherwise disposed of on such terms and in such manner as the directors determine and at any time before a sale, re-allotment or disposition the forfeiture may be cancelled on such terms as the directors think 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whose shares have been forfeited shall cease to be a shareholder in respect of the forfeited shares, but shall, notwithstanding such forfeiture, remain liable to pay to us all monies which at the date of forfeiture were payable by him to us in respect of the shares, together with all expenses and interest from the date of forfeiture or surrender until payment, but his liability shall cease if and when we receive payment in full of the unpaid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declaration, whether statutory or under oath, made by a director or the secretary shall be conclusive evidence that the person making the declaration is a director or secretary and that the particular shares have been forfeited or surrendered on a particular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execution of an instrument of transfer, if necessary, the declaration shall constitute good title to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Premium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shall establish a share premium account in accordance with the Cayman Companies Act and shall carry to the credit of such account from time to time a sum equal to the amount or value of the premium paid on the issue of any share or capital contributed or such other amounts required by the Cayman Companies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and Purchase of Own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Cayman Companies Act, our amended and restated memorandum and articles of association (as amended and/or restated from time to time) and any rights for the time being conferred on the shareholders holding a particular class of shares, we may by action of our directors: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64"/>
        <w:gridCol w:w="9874"/>
      </w:tblGrid>
      <w:tr>
        <w:trPr/>
        <w:tc>
          <w:tcPr>
            <w:tcW w:w="6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p>
        </w:tc>
        <w:tc>
          <w:tcPr>
            <w:tcW w:w="987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issue shares that are to be redeemed or liable to be redeemed, at our option or the shareholder holding those redeemable shares, on the terms and in the manner our directors determine before the issue of those shares;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66"/>
        <w:gridCol w:w="9872"/>
      </w:tblGrid>
      <w:tr>
        <w:trPr/>
        <w:tc>
          <w:tcPr>
            <w:tcW w:w="6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w:t>
            </w:r>
          </w:p>
        </w:tc>
        <w:tc>
          <w:tcPr>
            <w:tcW w:w="987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with the consent by special resolution of the shareholders holding shares of a particular class, vary the rights attaching to that class of shares so as to provide that those shares are to be redeemed or are liable to be redeemed at our option on the terms and in the manner which the directors determine at the time of such variation;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72"/>
        <w:gridCol w:w="9866"/>
      </w:tblGrid>
      <w:tr>
        <w:trPr/>
        <w:tc>
          <w:tcPr>
            <w:tcW w:w="6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w:t>
            </w:r>
          </w:p>
        </w:tc>
        <w:tc>
          <w:tcPr>
            <w:tcW w:w="986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purchase all or any of our own shares of any class including any redeemable shares on the terms and in the manner which the directors determine at the time of such purchase.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make a payment in respect of the redemption or purchase of its own shares in any manner authorized by the Cayman Companies Act, including out of any combination of capital, our profits and the proceeds of a fresh issue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making a payment in respect of the redemption or purchase of shares, the directors may make the payment in cash or in specie (or partly in one and partly in the other) if so authorized by the terms of the allotment of those shares or by the terms applying to those shares, or otherwise by agreement with the shareholder holding those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a transfer of Class A Ordinary Shares complies with applicable rules of the Nasdaq Capital Market, a shareholder may transfer Class A Ordinary Shares or Class B Ordinary Shares to another person by completing an instrument of transfer in a common form or, with respect to Class A Ordinary Shares, in a form prescribed by Nasdaq, or in any other form approved by the directors, executed:</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94"/>
        <w:gridCol w:w="9844"/>
      </w:tblGrid>
      <w:tr>
        <w:trPr/>
        <w:tc>
          <w:tcPr>
            <w:tcW w:w="6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p>
        </w:tc>
        <w:tc>
          <w:tcPr>
            <w:tcW w:w="984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where the Class A Ordinary Shares or Class B Ordinary Shares are fully paid, by or on behalf of that shareholder;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301"/>
        <w:gridCol w:w="9837"/>
      </w:tblGrid>
      <w:tr>
        <w:trPr/>
        <w:tc>
          <w:tcPr>
            <w:tcW w:w="6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w:t>
            </w:r>
          </w:p>
        </w:tc>
        <w:tc>
          <w:tcPr>
            <w:tcW w:w="98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where the Class A Ordinary Shares or Class B Ordinary Shares are partly paid, by or on behalf of that shareholder and the transferee.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transferor shall be deemed to remain the holder of a Class A Ordinary Share or Class B Ordinary Share until the name of the transferee is entered into the register of members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Class A Ordinary Shares or Class B Ordinary Shares in question are not listed on or subject to the rules of the Nasdaq Capital Market, our board of directors may, in its absolute discretion, decline to register any transfer of any Class A Ordinary Share or Class B Ordinary Share that has not been fully paid up or is subject to a company lien. Our board of directors may also decline to register any transfer of such Class A Ordinary Share or Class B Ordinary Share unless: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54"/>
        <w:gridCol w:w="9884"/>
      </w:tblGrid>
      <w:tr>
        <w:trPr/>
        <w:tc>
          <w:tcPr>
            <w:tcW w:w="6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p>
        </w:tc>
        <w:tc>
          <w:tcPr>
            <w:tcW w:w="988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instrument of transfer is lodged with the Company, accompanied by the certificate for the Class A Ordinary Shares or Class B Ordinary Shares to which it relates and such other evidence as our board of directors may reasonably require to show the right of the transferor to make the transfer;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4"/>
        <w:gridCol w:w="494"/>
        <w:gridCol w:w="9607"/>
      </w:tblGrid>
      <w:tr>
        <w:trPr/>
        <w:tc>
          <w:tcPr>
            <w:tcW w:w="10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w:t>
            </w:r>
          </w:p>
        </w:tc>
        <w:tc>
          <w:tcPr>
            <w:tcW w:w="960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instrument of transfer is in respect of only one class of shares;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7"/>
        <w:gridCol w:w="529"/>
        <w:gridCol w:w="9559"/>
      </w:tblGrid>
      <w:tr>
        <w:trPr/>
        <w:tc>
          <w:tcPr>
            <w:tcW w:w="11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w:t>
            </w:r>
          </w:p>
        </w:tc>
        <w:tc>
          <w:tcPr>
            <w:tcW w:w="955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instrument of transfer is properly stamped, if required;</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312"/>
        <w:gridCol w:w="9826"/>
      </w:tblGrid>
      <w:tr>
        <w:trPr/>
        <w:tc>
          <w:tcPr>
            <w:tcW w:w="67"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w:t>
            </w:r>
          </w:p>
        </w:tc>
        <w:tc>
          <w:tcPr>
            <w:tcW w:w="982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Class A Ordinary Share or Class B Ordinary Share transferred is fully paid and free of any lien in favor of us;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5"/>
        <w:gridCol w:w="564"/>
        <w:gridCol w:w="9516"/>
      </w:tblGrid>
      <w:tr>
        <w:trPr/>
        <w:tc>
          <w:tcPr>
            <w:tcW w:w="12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w:t>
            </w:r>
          </w:p>
        </w:tc>
        <w:tc>
          <w:tcPr>
            <w:tcW w:w="951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fee related to the transfer has been paid to us;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7"/>
        <w:gridCol w:w="556"/>
        <w:gridCol w:w="9512"/>
      </w:tblGrid>
      <w:tr>
        <w:trPr/>
        <w:tc>
          <w:tcPr>
            <w:tcW w:w="137"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w:t>
            </w:r>
          </w:p>
        </w:tc>
        <w:tc>
          <w:tcPr>
            <w:tcW w:w="951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transfer is not to more than four joint holders.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directors refuse to register a transfer, they are required, within three months after the date on which the instrument of transfer was lodged, to send to each of the transferor and the transferee notice of such refusal.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of transfers may, on 14 calendar days’ notice being given by advertisement in such one or more newspapers or by electronic means, be suspended and our register of members closed at such times and for such periods as our board of directors may from time to time determine. The registration of transfers, however, may not be suspended, and the register may not be closed, for more than 30 days in any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Inspection of Books and Records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of Cayman Islands exempted companies have no general rights under Cayman Islands law to inspect corporate records or to obtain copies of lists of shareholders of these companies (other than copies of our amended and restated memorandum and articles of association (as amended and/or restated from time to time, register of mortgages and charges, and any special resolutions passed by our shareholders). Under Cayman Islands law, the names of our current directors can be obtained from a search conducted at the Registrar of Companies. Pursuant to our amended and restated memorandum and articles of association, shareholders will not have any right to inspect any account or book or document of the Company except as conferred by the Cayman Companies Act or as authorized by our directors or by ordinary resolution of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Cayman Islands exempted company, we are not obligated by the Cayman Companies Act to call shareholders’ annual general meetings; accordingly, we may, but shall not be obliged to, in each year hold a general meeting as an annual general meeting. Any annual general meeting held shall be held at such time and place as may be determined by our board of directors. All general meetings other than annual general meetings shall be called extraordinary general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convene general meetings whenever they think fit. General meetings shall also be convened on the written requisition of one or more of the shareholders entitled to attend and vote at our general meetings who (together) hold not less than ten percent of the rights to vote at such general meeting in accordance with the notice provisions in the articles, specifying the purpose of the meeting and signed by each of the shareholders making the requisition. If the directors do not convene such meeting for a date not later than 21 clear days’ after the date of receipt of the written requisition, those shareholders who requested the meeting may convene the general meeting themselves within three months after the end of such period of 21 clear days in which case reasonable expenses incurred by them as a result of the directors failing to convene a meeting shall be reimbursed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14 days’ notice of an extraordinary general meeting and 21 days’ notice of an annual general meeting shall be given to shareholders entitled to attend and vote at such meeting. The notice shall specify the place, the day and the hour of the meeting and the general nature of that business. In addition, if a resolution is proposed as a special resolution, the text of that resolution shall be given to all shareholders. Notice of every general meeting shall also be given to the directors and our auditors.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Cayman Companies Act and with the consent of the shareholders who, individually or collectively, hold at least 90 percent of the voting rights of all those who have a right to vote at a general meeting, a general meeting may be convened on shorter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quorum shall consist of the presence (whether in person or represented by proxy) of one or more shareholders holding shares that represent not less than one-third of the outstanding shares carrying the right to vote at such general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within 15 minutes from the time appointed for the general meeting, or at any time during the meeting, a quorum is not present, the meeting, if convened upon the requisition of shareholders, shall be cancelled. In any other case it shall stand adjourned to the same time and place seven days or to such other time or place as is determined by the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may, with the consent of a meeting at which a quorum is present, adjourn the meeting. When a meeting is adjourned for seven days or more, notice of the adjourned meeting shall be given in accordance with the articles.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general meeting a resolution put to the vote of the meeting shall be decided on a show of hands, unless a poll is (before, or on, the declaration of the result of the show of hands) demanded by the chairman of the meeting or by at least two shareholders having the right to vote on the resolutions or one or more shareholders present who together hold not less than ten percent of the voting rights of all those who are entitled to vote on the resolution. Unless a poll is so demanded, a declaration by the chairman as to the result of a resolution and an entry to that effect in the minutes of the meeting, shall be conclusive evidence of the outcome of a show of hands, without proof of the number or proportion of the votes recorded in favor of, or against, that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poll is duly demanded it shall be taken in such manner as the chairman directs and the result of the poll shall be deemed to be the resolution of the meeting at which the poll was demanded.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 equality of votes, whether on a show of hands or on a poll, the chairman of the meeting at which the show of hands takes place or at which the poll is demanded, shall not be entitled to a second or casting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by ordinary resolution, from time to time, fix the maximum and minimum number of directors to be appointed. Under the Articles, we are required to have a minimum of one director and the maximum number of directors shall be unlimited.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be appointed by ordinary resolution or by the directors. Any appointment may be to fill a vacancy or as an additional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remuneration of the directors is determined by the shareholders by ordinary resolution, the directors shall be entitled to such remuneration as the directors may determine.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shareholding qualification for directors may be fixed by our shareholders by ordinary resolution and unless and until so fixed no share qualification shall be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removed or re-appointed, each director shall be appointed for a term expiring at the next-following annual general meeting, if one is held. At any annual general meeting held, our directors will be elected by an ordinary resolution of our shareholders. At each annual general meeting, each director so elected shall hold office for a one-year term and until the election of their respective successors in office or removed.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be removed by ordinary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at any time resign or retire from office by giving us notice in writing. Unless the notice specifies a different date, the director shall be deemed to have resigned on the date that the notice is delivered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articles, the office of a director may be terminated forthwith if:</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1"/>
        <w:gridCol w:w="413"/>
        <w:gridCol w:w="9701"/>
      </w:tblGrid>
      <w:tr>
        <w:trPr/>
        <w:tc>
          <w:tcPr>
            <w:tcW w:w="9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p>
        </w:tc>
        <w:tc>
          <w:tcPr>
            <w:tcW w:w="970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he is prohibited by the law of the Cayman Islands from acting as a director;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7"/>
        <w:gridCol w:w="364"/>
        <w:gridCol w:w="9764"/>
      </w:tblGrid>
      <w:tr>
        <w:trPr/>
        <w:tc>
          <w:tcPr>
            <w:tcW w:w="7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w:t>
            </w:r>
          </w:p>
        </w:tc>
        <w:tc>
          <w:tcPr>
            <w:tcW w:w="976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he is made bankrupt or makes an arrangement or composition with his creditors generally;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0"/>
        <w:gridCol w:w="810"/>
        <w:gridCol w:w="9215"/>
      </w:tblGrid>
      <w:tr>
        <w:trPr/>
        <w:tc>
          <w:tcPr>
            <w:tcW w:w="18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w:t>
            </w:r>
          </w:p>
        </w:tc>
        <w:tc>
          <w:tcPr>
            <w:tcW w:w="92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he resigns his office by notice to us;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
        <w:gridCol w:w="457"/>
        <w:gridCol w:w="9651"/>
      </w:tblGrid>
      <w:tr>
        <w:trPr/>
        <w:tc>
          <w:tcPr>
            <w:tcW w:w="9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w:t>
            </w:r>
          </w:p>
        </w:tc>
        <w:tc>
          <w:tcPr>
            <w:tcW w:w="965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he only held office as a director for a fixed term and such term expires;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81"/>
        <w:gridCol w:w="9857"/>
      </w:tblGrid>
      <w:tr>
        <w:trPr/>
        <w:tc>
          <w:tcPr>
            <w:tcW w:w="6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w:t>
            </w:r>
          </w:p>
        </w:tc>
        <w:tc>
          <w:tcPr>
            <w:tcW w:w="98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the opinion of a registered medical practitioner by whom he is being treated he becomes physically or mentally incapable of acting as a director;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31"/>
        <w:gridCol w:w="9907"/>
      </w:tblGrid>
      <w:tr>
        <w:trPr/>
        <w:tc>
          <w:tcPr>
            <w:tcW w:w="6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w:t>
            </w:r>
          </w:p>
        </w:tc>
        <w:tc>
          <w:tcPr>
            <w:tcW w:w="990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he is given notice by the majority of the other directors (not being less than two in number) to vacate office (without prejudice to any claim for damages for breach of any agreement relating to the provision of the services of such director);</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313"/>
        <w:gridCol w:w="9825"/>
      </w:tblGrid>
      <w:tr>
        <w:trPr/>
        <w:tc>
          <w:tcPr>
            <w:tcW w:w="6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w:t>
            </w:r>
          </w:p>
        </w:tc>
        <w:tc>
          <w:tcPr>
            <w:tcW w:w="98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he is made subject to any law relating to mental health or incompetence, whether by court order or otherwise; or</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309"/>
        <w:gridCol w:w="9829"/>
      </w:tblGrid>
      <w:tr>
        <w:trPr/>
        <w:tc>
          <w:tcPr>
            <w:tcW w:w="6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w:t>
            </w:r>
          </w:p>
        </w:tc>
        <w:tc>
          <w:tcPr>
            <w:tcW w:w="982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without the consent of the other directors, he is absent from meetings of directors for continuous period of six months.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compensation committee and the nominating and corporate governance committee shall consist of at least three directors and the majority of the committee members shall be independent within the meaning of Section 5605(a)(2) of the Nasdaq listing rules. The audit committee shall consist of at least three directors, all of whom shall be independent within the meaning of Section 5605(a)(2) of the Nasdaq listing rules and will meet the criteria for independence set forth in Rule 10A-3 or Rule 10C-1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Powers and Duties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Cayman Companies Act and our amended and restated memorandum and articles of association, our business shall be managed by the directors, who may exercise all our powers. No prior act of the directors shall be invalidated by any subsequent alteration of our memorandum or articles of association. To the extent allowed by the Cayman Companies Act, however, shareholders may by special resolution validate any prior or future act of the directors which would otherwise be in breach of their duties.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delegate any of their powers to any committee consisting of one or more persons who need not be shareholders and may include non-directors so long as the majority of those persons are directors; any committee so formed shall in the exercise of the powers so delegated conform to any regulations that may be imposed on it by the directors. Upon the closing of this offering, our board of directors will have established an audit committee, compensation committee, and nomination and corporate governance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may establish any local or divisional board of directors or agency and delegate to it its powers and authorities (with power to sub-delegate) for managing any of our affairs whether in the Cayman Islands or elsewhere and may appoint any persons to be members of a local or divisional board of directors, or to be managers or agents, and may fix their remuneration.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from time to time and at any time by power of attorney or in any other manner they determine appoint any person, either generally or in respect of any specific matter, to be our agent with or without authority for that person to delegate all or any of that person’s powers.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from time to time and at any time by power of attorney or in any other manner they determine appoint any person, whether nominated directly or indirectly by the directors, to be our attorney or our authorized signatory and for such period and subject to such conditions as they may think fit. The powers, authorities and discretions, however, must not exceed those vested in, or exercisable, by the directors under the articles.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may remove any person so appointed and may revoke or vary the delegation.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exercise all of our powers to borrow money and to mortgage or charge its undertaking, property and assets both present and future and uncalled capital or any part thereof, to issue debentures and other securities whether outright or as collateral security for any debt, liability or obligation of ours or our parent undertaking (if any) or any subsidiary undertaking of us or of any third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shall not, as a director, vote in respect of any contract, transaction, arrangement or proposal in which he has an interest which (together with any interest of any person connected with him) is a material interest (otherwise than by virtue of his interests, direct or indirect, in shares or debentures or other securities of, or otherwise in or through, us) and if he shall do so his vote shall not be counted, nor in relation thereto shall he be counted in the quorum present at the meeting, but (in the absence of some other material interest than is mentioned below) none of these prohibitions shall apply to:</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7"/>
        <w:gridCol w:w="484"/>
        <w:gridCol w:w="9614"/>
      </w:tblGrid>
      <w:tr>
        <w:trPr/>
        <w:tc>
          <w:tcPr>
            <w:tcW w:w="10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p>
        </w:tc>
        <w:tc>
          <w:tcPr>
            <w:tcW w:w="961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giving of any security, guarantee or indemnity in respect of:</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55"/>
        <w:gridCol w:w="9883"/>
      </w:tblGrid>
      <w:tr>
        <w:trPr/>
        <w:tc>
          <w:tcPr>
            <w:tcW w:w="6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w:t>
            </w:r>
          </w:p>
        </w:tc>
        <w:tc>
          <w:tcPr>
            <w:tcW w:w="988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money lent or obligations incurred by him or by any other person for our benefit or any of our subsidiaries; or</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76"/>
        <w:gridCol w:w="9862"/>
      </w:tblGrid>
      <w:tr>
        <w:trPr/>
        <w:tc>
          <w:tcPr>
            <w:tcW w:w="6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w:t>
            </w:r>
          </w:p>
        </w:tc>
        <w:tc>
          <w:tcPr>
            <w:tcW w:w="986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debt or obligation of ours or any of our subsidiaries for which the director himself has assumed responsibility in whole or in part and whether alone or jointly with others under a guarantee or indemnity or by the giving of security;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75"/>
        <w:gridCol w:w="9863"/>
      </w:tblGrid>
      <w:tr>
        <w:trPr/>
        <w:tc>
          <w:tcPr>
            <w:tcW w:w="6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w:t>
            </w:r>
          </w:p>
        </w:tc>
        <w:tc>
          <w:tcPr>
            <w:tcW w:w="986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where we or any of our subsidiaries is offering securities in which offer the director is or may be entitled to participate as a holder of securities or in the underwriting or sub-underwriting of which the director is to or may participate;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42"/>
        <w:gridCol w:w="9896"/>
      </w:tblGrid>
      <w:tr>
        <w:trPr/>
        <w:tc>
          <w:tcPr>
            <w:tcW w:w="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w:t>
            </w:r>
          </w:p>
        </w:tc>
        <w:tc>
          <w:tcPr>
            <w:tcW w:w="989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contract, transaction, arrangement or proposal affecting any other body corporate in which he is interested, directly or indirectly and whether as an officer, shareholder, creditor or otherwise howsoever, provided that he (together with persons connected with him) does not to his knowledge hold an interest representing one percent or more of any class of the equity share capital of such body corporate (or of any third body corporate through which his interest is derived) or of the voting rights available to shareholders of the relevant body corporate;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70"/>
        <w:gridCol w:w="9868"/>
      </w:tblGrid>
      <w:tr>
        <w:trPr/>
        <w:tc>
          <w:tcPr>
            <w:tcW w:w="6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w:t>
            </w:r>
          </w:p>
        </w:tc>
        <w:tc>
          <w:tcPr>
            <w:tcW w:w="986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act or thing done or to be done in respect of any arrangement for the benefit of the employees of us or any of our subsidiaries under which he is not accorded as a director any privilege or advantage not generally accorded to the employees to whom such arrangement relates; or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48"/>
        <w:gridCol w:w="9890"/>
      </w:tblGrid>
      <w:tr>
        <w:trPr/>
        <w:tc>
          <w:tcPr>
            <w:tcW w:w="6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w:t>
            </w:r>
          </w:p>
        </w:tc>
        <w:tc>
          <w:tcPr>
            <w:tcW w:w="989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matter connected with the purchase or maintenance for any director of insurance against any liability or (to the extent permitted by the Cayman Companies Act) indemnities in favor of directors, the funding of expenditure by one or more directors in defending proceedings against him or them or the doing of anything to enable such director or directors to avoid incurring such expenditure.</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as a director, vote (and be counted in the quorum) in respect of any contract, transaction, arrangement or proposal in which he has an interest which is not a material interest or as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Capitalization of Profits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resolve to capitalize:</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86"/>
        <w:gridCol w:w="9852"/>
      </w:tblGrid>
      <w:tr>
        <w:trPr/>
        <w:tc>
          <w:tcPr>
            <w:tcW w:w="6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p>
        </w:tc>
        <w:tc>
          <w:tcPr>
            <w:tcW w:w="985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part of our profits not required for paying any preferential dividend (whether or not those profits are available for distribution); or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337"/>
        <w:gridCol w:w="9797"/>
      </w:tblGrid>
      <w:tr>
        <w:trPr/>
        <w:tc>
          <w:tcPr>
            <w:tcW w:w="7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w:t>
            </w:r>
          </w:p>
        </w:tc>
        <w:tc>
          <w:tcPr>
            <w:tcW w:w="97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sum standing to the credit of our share premium account or capital redemption reserve, if 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resolved to be capitalized must be appropriated to the shareholders who would have been entitled to it had it been distributed by way of dividend and in the same proportions.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wound up, the shareholders may, subject to the articles and any other sanction required by the Cayman Companies Act, pass a special resolution allowing the liquidator to do either or both of the following:</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59"/>
        <w:gridCol w:w="9879"/>
      </w:tblGrid>
      <w:tr>
        <w:trPr/>
        <w:tc>
          <w:tcPr>
            <w:tcW w:w="6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p>
        </w:tc>
        <w:tc>
          <w:tcPr>
            <w:tcW w:w="987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divide in specie among the shareholders the whole or any part of our assets and, for that purpose, to value any assets and to determine how the division shall be carried out as between the shareholders or different classes of shareholders; and</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302"/>
        <w:gridCol w:w="9836"/>
      </w:tblGrid>
      <w:tr>
        <w:trPr/>
        <w:tc>
          <w:tcPr>
            <w:tcW w:w="6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w:t>
            </w:r>
          </w:p>
        </w:tc>
        <w:tc>
          <w:tcPr>
            <w:tcW w:w="983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vest the whole or any part of the assets in trustees for the benefit of shareholders and those liable to contribute to the winding up.</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have the authority to present a petition for our winding up to the Grand Court of the Cayman Islands on our behalf without the sanction of a resolution passed at a general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 of Members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Cayman Companies Act, we must keep a register of members and there should be entered therein: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names and addresses of the members of the company, a statement of the shares held by each member, which: (i) distinguishes each share by its number (so long as the share has a number); (ii) confirms the amount paid, or agreed to be considered as paid, on the shares of each member; (iii) confirms the number and category of shares held by each member; and (iv) confirms whether each relevant category of shares held by a member carries voting rights under our amended and restated memorandum and articles of association, and if so, whether such voting rights are conditional;</w:t>
            </w:r>
          </w:p>
        </w:tc>
      </w:tr>
    </w:tbl>
    <w:p>
      <w:pPr>
        <w:pStyle w:val="TextBody"/>
        <w:bidi w:val="0"/>
        <w:spacing w:before="0" w:after="0"/>
        <w:ind w:left="0" w:right="0" w:hanging="0"/>
        <w:jc w:val="both"/>
        <w:rPr>
          <w:caps w:val="false"/>
          <w:smallCaps w:val="false"/>
        </w:rPr>
      </w:pPr>
      <w:r>
        <w:rPr>
          <w:caps w:val="false"/>
          <w:smallCaps w:val="false"/>
        </w:rPr>
        <w:t> </w:t>
      </w:r>
    </w:p>
    <w:tbl>
      <w:tblPr>
        <w:tblW w:w="8598" w:type="dxa"/>
        <w:jc w:val="left"/>
        <w:tblInd w:w="0" w:type="dxa"/>
        <w:tblLayout w:type="fixed"/>
        <w:tblCellMar>
          <w:top w:w="0" w:type="dxa"/>
          <w:left w:w="0" w:type="dxa"/>
          <w:bottom w:w="0" w:type="dxa"/>
          <w:right w:w="0" w:type="dxa"/>
        </w:tblCellMar>
      </w:tblPr>
      <w:tblGrid>
        <w:gridCol w:w="68"/>
        <w:gridCol w:w="200"/>
        <w:gridCol w:w="833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33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date on which the name of any person was entered on the register as a member; and</w:t>
            </w:r>
          </w:p>
        </w:tc>
      </w:tr>
    </w:tbl>
    <w:p>
      <w:pPr>
        <w:pStyle w:val="TextBody"/>
        <w:bidi w:val="0"/>
        <w:spacing w:before="0" w:after="0"/>
        <w:ind w:left="0" w:right="0" w:hanging="0"/>
        <w:jc w:val="both"/>
        <w:rPr>
          <w:caps w:val="false"/>
          <w:smallCaps w:val="false"/>
        </w:rPr>
      </w:pPr>
      <w:r>
        <w:rPr>
          <w:caps w:val="false"/>
          <w:smallCaps w:val="false"/>
        </w:rPr>
        <w:t> </w:t>
      </w:r>
    </w:p>
    <w:tbl>
      <w:tblPr>
        <w:tblW w:w="5403" w:type="dxa"/>
        <w:jc w:val="left"/>
        <w:tblInd w:w="0" w:type="dxa"/>
        <w:tblLayout w:type="fixed"/>
        <w:tblCellMar>
          <w:top w:w="0" w:type="dxa"/>
          <w:left w:w="0" w:type="dxa"/>
          <w:bottom w:w="0" w:type="dxa"/>
          <w:right w:w="0" w:type="dxa"/>
        </w:tblCellMar>
      </w:tblPr>
      <w:tblGrid>
        <w:gridCol w:w="68"/>
        <w:gridCol w:w="200"/>
        <w:gridCol w:w="513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1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date on which any person ceased to be a member.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these purposes, “voting rights” means rights conferred on shareholders, including the right to appoint or remove directors, in respect of their shares to vote at general meetings of the company on all or substantially all matters. A voting right is conditional where the voting right arises only in certain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Cayman Companies Act, the register of members of our Company is prima facie evidence of the matters set out therein (that is, the register of members will raise a presumption of fact on the matters referred to above unless rebutted) and a shareholder registered in the register of members is deemed as a matter of the Cayman Companies Act to have legal title to the shares as set against its name in the register of members.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name of any person is incorrectly entered in or omitted from our register of members, or if there is any default or unnecessary delay in entering on the register the fact of any person having ceased to be a shareholder of our company, the person or shareholder aggrieved (or any shareholder of our Company or our Company itself) may apply to the Grand Court of the Cayman Islands for an order that the register be rectified, and the Court may either refuse such application or it may, if satisfied of the justice of the case, make an order for the rectification of the register.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Material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13, 2024, the Company entered into a securities purchase agreement with certain investors identified therein for a best efforts follow-on public offering of (i) 8,980,251 Class A Ordinary Shares of the Company and (ii) 8,980,251 common warrants to purchase 8,980,251 Class A Ordinary Shares, at an exercise price of $0.972 per share (after reflecting amendment on September 24, 2024), exercisable within one year anniversary of the closing of the offering. During the year ended December 31, 2024, all the common warrants were exercised on a cashless basis. Also see Exhibits 4.15, 4.16 and 4.17 attached to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13, 2025, the Company priced a best-efforts public offering for the sale of units as described below. The offering was comprised of 200,000 units (each a “Unit”), consisting of (i) one Class A ordinary share of our Company, par value $0.08 per share (the “Class A Ordinary Shares”), or in lieu thereof, a pre-funded warrant (each a “Pre-Funded Warrant”); (ii) one series A warrant to purchase one Class A Ordinary Share (each a “Series A Warrant”); and (iii) one series B warrant to purchase one Class A Ordinary Share (each a “Series B Warrant”). The public offering price of the Units was $40.00 per Unit. The Pre-Funded Warrants will be immediately exercisable (subject to the beneficial ownership limitation) and may be exercised at any time until all of the Pre-Funded Warrants are exercised in full. Each of the Series A Warrants and the Series B Warrants would have an exercise price of $42.00 per Class A Ordinary Share and be exercisable beginning on the date of the issuance date and ending on the two and half anniversary of the issuance date. Additionally, holders of Series B Warrants may affect a “zero exercise price option,” under which up to 937,500 Class A Ordinary Shares may be issuable in aggregate under all Series B Warrants. The Company registered up to 1,337,500 Class A Ordinary Shares underlying the Pre-Funded Warrants, the Series A Warrants and the Series B Warrants. The offering was closed on June 16, 2025, and the Company received aggregate gross proceeds of $8.0 million from the offering, before deducting placement agent fees and other estimated expenses payable by us, excluding the exercise of any warrant offered. During the year ended December 31, 2025, 200,000 Class A Ordinary Shares were issued and 937,500 Class A Ordinary Shares were issued upon on exercised of 200,000 Series B Warrants at zero exercise price option. 200,000 Series A Warrants were outstanding as of December 31, 2025. Also see Exhibits 4.18 and 4.19 attached to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5, 2025, the Company entered into a securities purchase agreement (the “Securities Purchase Agreement”) with certain investors for a private placement offering (the “November 2025 Private Placement”) of 37,500,000 Class A Ordinary Shares at the subscription price of US$0.80 per Class A Ordinary Share. The investors have agreed to a one-year lock-up restrictions with the Company. The November 2025 Private Placement was consummated in November 2025 and the share issuance was completed on November 18, 2025. We intend to use the proceeds from the November 2025 Private Placement for expanding manufacturing capacities, opening new stores and other general corporate purposes. Also see Exhibit 4.20 attached to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6, 2026, the Company entered into a sales agreement (the “Sales Agreement”) with AC Sunshine Securities LLC (the “Sales Agent”), acting as the Company’s sales agent, pursuant to which the Company may offer and sell, from time to time, to or through the Sales Agent, Class A ordinary shares of the Company, par value $0.08 per share (the “Class A Ordinary Shares”) having an aggregate offering price of up to $219,375,000 (the “Offered Shares”). Under the Sales Agreement, the Offered Shares will be offered and sold pursuant to a base prospectus, dated September 16, 2025 and a prospectus supplement, dated January 7, 2026, that form a part of the Company’s shelf registration statement on Form F-3, as amended (File No. 333-289600), which was declared effective by the U.S. Securities and Exchange Commission (the “SEC”) on September 30, 2025. Also see Exhibit 4.21 attached to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Exchange Controls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4. Information on the Company-B. Business Overview-Regulations-Regulations on Foreign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Taxation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 Enterprise 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brief description of Chinese enterprise income taxation is designed to highlight the enterprise-level taxation on our earnings, which will affect the amount of dividends, if any, we are ultimately able to pay to our shareholders. See “Item 8. Financial Information-A. Consolidated Statements and Other Financial Information-Dividend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According to the EIT Law, which was promulgated by the SCNPC on March 16, 2007, became effective on January 1, 2008, amended on February 24, 2017, and most recently amended on December 29, 2018, and the </w:t>
      </w:r>
      <w:r>
        <w:rPr>
          <w:rFonts w:ascii="Times New Roman;Times;Serif" w:hAnsi="Times New Roman;Times;Serif"/>
          <w:b w:val="false"/>
          <w:i/>
          <w:caps w:val="false"/>
          <w:smallCaps w:val="false"/>
          <w:sz w:val="20"/>
        </w:rPr>
        <w:t>Implementation Rules of the EIT Law</w:t>
      </w:r>
      <w:r>
        <w:rPr>
          <w:rFonts w:ascii="Times New Roman;Times;Serif" w:hAnsi="Times New Roman;Times;Serif"/>
          <w:b w:val="false"/>
          <w:i w:val="false"/>
          <w:caps w:val="false"/>
          <w:smallCaps w:val="false"/>
          <w:sz w:val="20"/>
        </w:rPr>
        <w:t>, which were promulgated by the State Council on December 6, 2007, became effective on January 1, 2008, and were amended on April 23, 2019 as well as December 6, 2024, with the most recent amendment effective on January 20, 2025, enterprises are divided into resident enterprises and non-resident enterprises. Resident enterprises pay enterprise income tax on their incomes obtained in and outside the PRC at the rate of 25%. Non-resident enterprises setting up institutions in the PRC pay enterprise income tax on the incomes obtained by such institutions in and outside the PRC at the rate of 25%. Non-resident enterprises with no institutions in the PRC, and non-resident enterprises with income having no substantial connection with their institutions in the PRC, pay enterprise income tax on their income obtained in the PRC at a reduced rate of 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holding company incorporated in the Cayman Islands and we gain substantial income by way of dividends paid to us from our PRC subsidiary. The EIT Law and its implementation rules provide that China-sourced income of foreign enterprises, such as dividends paid by a PRC subsidiary to its equity holders that are non-resident enterprises, will normally be subject to PRC withholding tax at a rate of 10%, unless any such foreign investor’s jurisdiction of incorporation has a tax treaty with China that provides for a preferential tax rate or a tax exemption.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EIT Law, an enterprise established outside of China with a “de facto management body” within China is considered a “resident enterprise,” which means that it is treated in a manner similar to a Chinese enterprise for enterprise income tax purposes. Although the implementation rules of the EIT Law define “de facto management body” as a managing body that in practice exercises “substantial and overall management and control over the production and operations, personnel, accounting, and properties” of the enterprise, the only official guidance for this definition currently available is set forth in SAT Notice 82, which provides guidance on the determination of the tax residence status of a PRC-controlled offshore incorporated enterprise, defined as an enterprise that is incorporated under the laws of a foreign country or territory and that has a PRC enterprise or enterprise group as its primary controlling shareholder. Although Chanson International does not have a PRC enterprise or enterprise group as our primary controlling shareholder and is therefore not a PRC-controlled offshore incorporated enterprise within the meaning of SAT Notice 82, in the absence of guidance specifically applicable to us, we have applied the guidance set forth in SAT Notice 82 to evaluate the tax residence status of Chanson International and its subsidiaries organized outside the PRC.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SAT Notice 82, a PRC-controlled offshore incorporated enterprise will be regarded as a PRC tax resident by virtue of having a “de facto management body” in China and will be subject to PRC enterprise income tax on its worldwide income only if all of the following criteria are met: (i) the places where senior management and senior management departments that are responsible for daily production, operation and management of the enterprise perform their duties are mainly located within the territory of China; (ii) financial decisions (such as money borrowing, lending, financing and financial risk management) and personnel decisions (such as appointment, dismissal and salary and wages) are decided or need to be decided by organizations or persons located within the territory of China; (iii) main property, accounting books, corporate seal, the board of directors and files of the minutes of shareholders’ meetings of the enterprise are located or preserved within the territory of China; and (iv) one half (or more) of the directors or senior management staff having the right to vote habitually reside within the territory of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we do not meet some of the conditions outlined in the immediately preceding paragraph. For example, as a holding company, the key assets and records of Chanson International, including the resolutions and meeting minutes of our board of directors and the resolutions and meeting minutes of our shareholders, are located and maintained outside the PRC. For the same reasons, we believe our other entities outside China are not PRC resident enterprises either. In addition, we are not aware of any offshore holding companies with a corporate structure similar to ours that has been deemed a PRC “resident enterprise” by the PRC tax authorities. Accordingly, we believe that Chanson International and its offshore subsidiaries should not be treated as a “resident enterprise” for PRC tax purposes if the criteria for “de facto management body” as set forth in SAT Notice 82 were deemed applicable to us. However, the tax resident status of an enterprise is subject to determination by the PRC tax authorities and uncertainties remain with respect to the interpretation of the term “de facto management body” as applicable to our offshore entities, we will continue to monitor our tax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implementation rules of the EIT Law provide that, (i) if an enterprise that distributes dividends is domiciled in the PRC or (ii) if gains are realized from transferring equity interests of enterprises domiciled in the PRC, then such dividends or gains are treated as PRC-sourced income. It is not clear how “domicile” may be interpreted under the EIT Law, and it may be interpreted as the jurisdiction where the enterprise is a tax resident. Therefore, if we are considered as a PRC tax resident enterprise for PRC tax purposes, any dividends we pay to our overseas shareholders which are non-resident enterprises as well as gains realized by such shareholders from the transfer of our shares may be regarded as PRC-sourced income and as a result become subject to PRC withholding tax at a rate of up to 10%. Beijing Dacheng Law Offices, LLP (Guangzhou) (“Dacheng”), our PRC counsel, is unable to provide a “will” opinion because it believes that it is more likely than not that we and our offshore subsidiaries would be treated as non-resident enterprises for PRC tax purposes because we do not meet some of the conditions outlined in SAT Notice 82. In addition, Dacheng is not aware of any offshore holding companies with a corporate structure similar to ours that has been deemed a PRC “resident enterprise” by the PRC tax authorities as of the date of this annual report. Therefore, Dacheng believes that it is possible but highly unlikely that income received by our overseas shareholders will be regarded as PRC-sourced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3. Key Information-D. Risk Factors-Risks Relating to Doing Business in the PRC-Under the EIT Law, we may be classified as a PRC ‘resident enterprise’ for PRC enterprise income tax purposes. Such classification would likely result in unfavorable tax consequences to us and our non-PRC shareholders and have a material adverse effect on our results of operations and the value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PRC tax authorities determine that Chanson International is a PRC resident enterprise for enterprise income tax purposes, a number of unfavorable PRC tax consequences could follow. First, we will be subject to the uniform 25% enterprise income tax on our world-wide income. In addition, we will also be subject to PRC enterprise income tax reporting obligations. Finally, we may be required to withhold a 10% withholding tax from dividends we pay to our shareholders that are non-resident enterprises. In addition, non-resident enterprise shareholders may be subject to a 10% PRC tax on gains realized on the sale or other disposition of Class A Ordinary Shares or Class B Ordinary Shares, if such income is treated as sourced from within the PRC. It is unclear whether our non-PRC individual shareholders would be subject to any PRC tax on dividends or gains obtained by such non-PRC individual shareholders in the event we are determined to be a PRC resident enterprise. If any PRC tax were to apply to such dividends or gains, it would generally apply at a rate of 20% unless a reduced rate is available under an applicable tax treaty. It is also unclear whether non-PRC shareholders of Chanson International would be able to claim the benefits of any tax treaties between their country of tax residence and the PRC in the event that Chanson International is treated as a PRC resident enterprise.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Hong Kong 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Entities incorporated in Hong Kong are subject to profits tax in Hong Kong at the rate of 16.5%.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 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No stamp duty is payable in the Cayman Islands on the issue of shares by, or any transfers of shares of, Cayman Islands companies (except those which hold interests in land in the Cayman Islands). There are no exchange control regulations or currency restrictions in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dividends and capital in respect of our Class A Ordinary Shares or Class B Ordinary Shares will not be subject to taxation in the Cayman Islands and no withholding will be required on the payment of a dividend or capital to any holder of our Class A Ordinary Shares or Class B Ordinary Shares, as the case may be, nor will gains derived from the disposal of our Class A Ordinary Shares or Class B Ordinary Shares be subject to Cayman Islands income or corporation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 Federal Income 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does not address the tax consequences to any particular investor or to persons in special tax situations such as:</w:t>
      </w:r>
    </w:p>
    <w:p>
      <w:pPr>
        <w:pStyle w:val="TextBody"/>
        <w:bidi w:val="0"/>
        <w:spacing w:before="0" w:after="0"/>
        <w:ind w:left="0" w:right="0" w:firstLine="300"/>
        <w:jc w:val="left"/>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105"/>
        <w:gridCol w:w="200"/>
        <w:gridCol w:w="278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banks;</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financial institutions;</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insurance companies;</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regulated investment companies;</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real estate investment trusts;</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broker-dealers;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that elect to mark their securities to market;</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 expatriates or former long-term residents of the U.S.;</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governments or agencies or instrumentalities thereof;</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tax-exempt entities;</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liable for alternative minimum tax;</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holding our Class A Ordinary Shares as part of a straddle, hedging, conversion or integrated transaction;</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that actually or constructively own 10% or more of our voting power or value (including by reason of owning our Class A Ordinary Shares);</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who acquired our Class A Ordinary Shares pursuant to the exercise of any employee share option or otherwise as compensation;</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holding our Class A Ordinary Shares through partnerships or other pass-through entities;</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beneficiaries of a Trust holding our Class A Ordinary Shares; or</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holding our Class A Ordinary Shares through a trust.</w:t>
            </w:r>
          </w:p>
        </w:tc>
      </w:tr>
    </w:tbl>
    <w:p>
      <w:pPr>
        <w:pStyle w:val="TextBody"/>
        <w:bidi w:val="0"/>
        <w:spacing w:before="0" w:after="0"/>
        <w:ind w:left="0" w:right="0" w:firstLine="30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discussion set forth below is addressed only to U.S. Holders that purchase Class A Ordinary Shares. Prospective purchasers are urged to consult their own tax advisors about the application of the U.S. federal income tax rules to their particular circumstances as well as the state, local, foreign, and other tax consequences to them of the purchase, ownership, and disposition of our Class A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Material Tax Consequences Applicable to U.S. Holders of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sets forth the material U.S. federal income tax consequences related to the ownership and disposition of our Class A Ordinary Shares. It is directed to U.S. Holders (as defined below) of our Class A Ordinary Shares and is based upon laws and relevant interpretations thereof in effect as of the date of this annual report, all of which are subject to change. This description does not deal with all possible tax consequences relating to ownership and disposition of our Class A Ordinary Shares or U.S. tax laws, other than the U.S. federal income tax laws, such as the tax consequences under non-U.S. tax laws, state, local, and other tax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brief description applies only to U.S. Holders that hold Class A Ordinary Shares as capital assets and that have the U.S. dollar as their functional currency. This brief description is based on the federal income tax laws of the United States in effect as of the date of this annual report and on U.S. Treasury regulations in effect or, in some cases, proposed, as of the date of this annual report, as well as judicial and administrative interpretations thereof available on or before such date. All of the foregoing authorities are subject to change, which change could apply retroactively and could affect the tax consequences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brief description below of the U.S. federal income tax consequences to “U.S. Holders” will apply to you if you are a beneficial owner of Class A Ordinary Shares and you are, for U.S. federal income tax purposes,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individual who is a citizen or resident of the United States;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corporation (or other entity taxable as a corporation for U.S. federal income tax purposes) organized under the laws of the United States, any state thereof or the District of Columbia;</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estate whose income is subject to U.S. federal income taxation regardless of its source; or</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trust that (1) is subject to the primary supervision of a court within the United States and the control of one or more U.S. persons for all substantial decisions or (2) has a valid election in effect under applicable U.S. Treasury regulations to be treated as a U.S. person.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(or other entities treated as a partnership for United States federal income tax purposes) is a beneficial owner of our Class A Ordinary Shares, the tax treatment of a partner in the partnership will depend upon the status of the partner and the activities of the partnership. Partnerships and partners of a partnership holding our Class A Ordinary Shares are urged to consult their tax advisors regarding an investment in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individual is considered a resident of the U.S. for federal income tax purposes if he or she meets either the “Green Card Test” or the “Substantial Presence Test” described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Green Card Test: You are a lawful permanent resident of the United States, at any time, if you have been given the privilege, according to the immigration laws of the United States, of residing permanently in the United States as an immigrant. You generally have this status if the U.S. Citizenship and Immigration Services issued you an alien registration card, Form I-551, also known as a “green card.”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Substantial Presence Test: If an alien is present in the United States on at least 31 days of the current calendar year, he or she will (absent an applicable exception) be classified as a resident alien if the sum of the following equals 183 days or more (</w:t>
      </w:r>
      <w:r>
        <w:rPr>
          <w:rFonts w:ascii="Times New Roman;Times;Serif" w:hAnsi="Times New Roman;Times;Serif"/>
          <w:b w:val="false"/>
          <w:i/>
          <w:caps w:val="false"/>
          <w:smallCaps w:val="false"/>
          <w:sz w:val="20"/>
        </w:rPr>
        <w:t xml:space="preserve">See </w:t>
      </w:r>
      <w:r>
        <w:rPr>
          <w:rFonts w:ascii="Times New Roman;Times;Serif" w:hAnsi="Times New Roman;Times;Serif"/>
          <w:b w:val="false"/>
          <w:i w:val="false"/>
          <w:caps w:val="false"/>
          <w:smallCaps w:val="false"/>
          <w:sz w:val="20"/>
        </w:rPr>
        <w:t>§7701(b)(3)(A) of the Internal Revenue Code and related Treasury Regulations):</w:t>
      </w:r>
    </w:p>
    <w:p>
      <w:pPr>
        <w:pStyle w:val="TextBody"/>
        <w:bidi w:val="0"/>
        <w:spacing w:before="0" w:after="0"/>
        <w:ind w:left="0" w:right="0" w:hanging="0"/>
        <w:jc w:val="both"/>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105"/>
        <w:gridCol w:w="200"/>
        <w:gridCol w:w="49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49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actual days in the United States in the current year; plus</w:t>
            </w:r>
          </w:p>
        </w:tc>
      </w:tr>
    </w:tbl>
    <w:p>
      <w:pPr>
        <w:pStyle w:val="TextBody"/>
        <w:bidi w:val="0"/>
        <w:spacing w:before="0" w:after="0"/>
        <w:ind w:left="0" w:right="0" w:hanging="0"/>
        <w:jc w:val="left"/>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105"/>
        <w:gridCol w:w="200"/>
        <w:gridCol w:w="720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72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One-third of his or her days in the United States in the immediately preceding year; plus</w:t>
            </w:r>
          </w:p>
        </w:tc>
      </w:tr>
    </w:tbl>
    <w:p>
      <w:pPr>
        <w:pStyle w:val="TextBody"/>
        <w:bidi w:val="0"/>
        <w:spacing w:before="0" w:after="0"/>
        <w:ind w:left="0" w:right="0" w:hanging="0"/>
        <w:jc w:val="left"/>
        <w:rPr>
          <w:caps w:val="false"/>
          <w:smallCaps w:val="false"/>
        </w:rPr>
      </w:pPr>
      <w:r>
        <w:rPr>
          <w:caps w:val="false"/>
          <w:smallCaps w:val="false"/>
        </w:rPr>
        <w:t> </w:t>
      </w:r>
    </w:p>
    <w:tbl>
      <w:tblPr>
        <w:tblW w:w="6670" w:type="dxa"/>
        <w:jc w:val="left"/>
        <w:tblInd w:w="0" w:type="dxa"/>
        <w:tblLayout w:type="fixed"/>
        <w:tblCellMar>
          <w:top w:w="0" w:type="dxa"/>
          <w:left w:w="0" w:type="dxa"/>
          <w:bottom w:w="0" w:type="dxa"/>
          <w:right w:w="0" w:type="dxa"/>
        </w:tblCellMar>
      </w:tblPr>
      <w:tblGrid>
        <w:gridCol w:w="105"/>
        <w:gridCol w:w="200"/>
        <w:gridCol w:w="636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6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One-sixth of his or her days in the United States in the second preceding year.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Taxation of Dividends and Other Distributions on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discussed below, the gross amount of distributions made by us to you with respect to the Class A Ordinary Shares (including the amount of any taxes withheld therefrom) will generally be includable in your gross income as dividend income on the date of receipt by you, but only to the extent that the distribution is paid out of our current or accumulated earnings and profits (as determined under U.S. federal income tax principles). With respect to corporate U.S. Holders, the dividends will not be eligible for the dividends-received deduction allowed to corporations in respect of dividends received from other U.S. corporations. We have not declared any dividends to our shareholders as of the date of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non-corporate U.S. Holders, including individual U.S. Holders, dividends will be taxed at the lower capital gains rate applicable to qualified dividend income, provided that (1) the Class A Ordinary Shares are readily tradable on an established securities market in the United States, or we are eligible for the benefits of an approved qualifying income tax treaty with the United States that includes an exchange of information program, (2) we are not a PFIC for either our taxable year in which the dividend is paid or the preceding taxable year, and (3) certain holding period requirements are met. Because there is no income tax treaty between the United States and the Cayman Islands, clause (1) above can be satisfied only if the Class A Ordinary Shares are readily tradable on an established securities market in the United States. Under U.S. Internal Revenue Service authority, Class A Ordinary Shares are considered for purpose of clause (1) above to be readily tradable on an established securities market in the United States if they are listed on certain exchanges, which presently include the NYSE and the Nasdaq Stock Market LLC. Our Class A Ordinary Shares are presently traded on the Nasdaq Stock Market LLC. You are urged to consult your tax advisors regarding the availability of the lower rate for dividends paid with respect to our Class A Ordinary Shares, including the effects of any change in law after the date of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will constitute foreign source income for foreign tax credit limitation purposes. If the dividends are taxed as qualified dividend income (as discussed above), the amount of the dividend taken into account for purposes of calculating the foreign tax credit limitation will be limited to the gross amount of the dividend, multiplied by the reduced rate divided by the highest rate of tax normally applicable to dividends. The limitation on foreign taxes eligible for credit is calculated separately with respect to specific classes of income. For this purpose, dividends distributed by us with respect to our Class A Ordinary Shares will constitute “passive category income” but could, in the case of certain U.S. Holders, constitute “general category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the amount of the distribution exceeds our current and accumulated earnings and profits (as determined under U.S. federal income tax principles), it will be treated first as a tax-free return of your tax basis in your Class A Ordinary Shares, and to the extent the amount of the distribution exceeds your tax basis, the excess will be taxed as capital gain. We do not calculate our earnings and profits under U.S. federal income tax principles. Therefore, a U.S. Holder should expect that a distribution will be treated as a dividend even if that distribution would otherwise be treated as a non-taxable return of capital or as capital gain under the rules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Taxation of Dispositions of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discussed below, you will recognize taxable gain or loss on any sale, exchange, or other taxable disposition of a share equal to the difference between the amount realized (in U.S. dollars) for the share and your tax basis (in U.S. dollars) in the Class A Ordinary Shares. The gain or loss will be capital gain or loss. If you are a non-corporate U.S. Holder, including an individual U.S. Holder, who has held the Class A Ordinary Shares for more than one year, you will generally be eligible for reduced tax rates. The deductibility of capital losses is subject to limitations. Any such gain or loss that you recognize will generally be treated as United States source income or loss for foreign tax credit limitation purposes which will generally limit the availability of foreign tax credits.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PFIC Consequences</w:t>
      </w:r>
    </w:p>
    <w:p>
      <w:pPr>
        <w:pStyle w:val="TextBody"/>
        <w:bidi w:val="0"/>
        <w:spacing w:before="0" w:after="0"/>
        <w:ind w:left="0" w:right="0" w:firstLine="3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corporation is considered a PFIC, as defined in Section 1297(a) of the US Internal Revenue Code, for any taxable year if either:</w:t>
      </w:r>
    </w:p>
    <w:p>
      <w:pPr>
        <w:pStyle w:val="TextBody"/>
        <w:bidi w:val="0"/>
        <w:spacing w:before="0" w:after="0"/>
        <w:ind w:left="0" w:right="0" w:firstLine="3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least 75% of its gross income for such taxable year is passive income; or</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least 50% of the value of its assets (based on an average of the quarterly values of the assets during a taxable year) is attributable to assets that produce or are held for the production of passive income (the “asset test”).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Passive income generally includes dividends, interest, rents and royalties (other than rents or royalties derived from the active conduct of a trade or business) and gains from the disposition of passive assets. We will be treated as owning our proportionate share of the assets and earning our proportionate share of the income of any other corporation in which we own, directly or indirectly, at least 25% (by value) of the stock. In determining the value and composition of our assets for purposes of the PFIC asset test, (1) the cash we raise in our offerings will generally be considered to be held for the production of passive income and (2) the value of our assets must be determined based on the market value of our Class A Ordinary Shares from time to time, which could cause the value of our non-passive assets to be less than 50% of the value of all of our assets on any particular quarterly testing date for purposes of the asset test.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operations and the composition of our assets, it appears we are not a PFIC under the current PFIC rules. We must make a separate determination each year as to whether we are a PFIC, however, and there can be no assurance with respect to our status as a PFIC for any future taxable year. Depending on the amount of cash and any other assets held for the production of passive income, it is possible that, for any subsequent taxable year, more than 50% of our assets may be assets held for the production of passive income. We will make this determination following the end of any particular tax year. Although the law in this regard is unclear, we are treating the UFG Entities as being owned by us for United States federal income tax purposes, not only because we control their management decisions, but also because we are entitled to the economic benefits associated with the UFG Entities, and as a result, we are treating the UFG Entities as our wholly-owned subsidiary for U.S. federal income tax purposes. If we are not treated as owning the UFG Entities for United States federal income tax purposes, we would likely be treated as a PFIC. In addition, because the value of our assets for purposes of the asset test will generally be determined based on the market price of our Class A Ordinary Shares and because cash is generally considered to be an asset held for the production of passive income, our PFIC status will depend in large part on the market price of our Class A Ordinary Shares and the amount of cash we raised in our offerings. Accordingly, fluctuations in the market price of the Class A Ordinary Shares may cause us to become a PFIC. In addition, the application of the PFIC rules is subject to uncertainty in several respects and the composition of our income and assets will be affected by how, and how quickly, we spend the cash we raised in our offerings. We are under no obligation to take steps to reduce the risk of our being classified as a PFIC, and as stated above, the determination of the value of our assets will depend upon material facts (including the market price of our Class A Ordinary Shares from time to time and the amount of cash we raised in our offerings) that may not be within our control. If we are a PFIC for any year during which you hold Class A Ordinary Shares, we will continue to be treated as a PFIC for all succeeding years during which you hold Class A Ordinary Shares. If we cease to be a PFIC and you did not previously make a timely “mark-to-market” election as described below, you may avoid some of the adverse effects of the PFIC regime by making a “purging election” (as described below) with respect to the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for your taxable year(s) during which you hold Class A Ordinary Shares, you will be subject to special tax rules with respect to any “excess distribution” that you receive and any gain you realize from a sale or other disposition (including a pledge) of the Class A Ordinary Shares, unless you make a “mark-to-market” election as discussed below. Distributions you receive in a taxable year that are greater than 125% of the average annual distributions you received during the shorter of the three preceding taxable years or your holding period for the Class A Ordinary Shares will be treated as an excess distribution. Under these special tax rules: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excess distribution or gain will be allocated ratably over your holding period for the Class A Ordinary Shares;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 allocated to your current taxable year, and any amount allocated to any of your taxable year(s) prior to the first taxable year in which we were a PFIC, will be treated as ordinary income, and</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 allocated to each of your other taxable year(s) will be subject to the highest tax rate in effect for that year and the interest charge generally applicable to underpayments of tax will be imposed on the resulting tax attributable to each such year.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liability for amounts allocated to years prior to the year of disposition or “excess distribution” cannot be offset by any net operating losses for such years, and gains (but not losses) realized on the sale of the Class A Ordinary Shares cannot be treated as capital, even if you hold the Class A Ordinary Shares as capital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of “marketable stock” (as defined below) in a PFIC may make a mark-to-market election under Section 1296 of the US Internal Revenue Code for such stock to elect out of the tax treatment discussed above. If you make a mark-to-market election for first taxable year which you hold (or are deemed to hold) Class A Ordinary Shares and for which we are determined to be a PFIC, you will include in your income each year an amount equal to the excess, if any, of the fair market value of the Class A Ordinary Shares as of the close of such taxable year over your adjusted basis in such Class A Ordinary Shares, which excess will be treated as ordinary income and not capital gain. You are allowed an ordinary loss for the excess, if any, of the adjusted basis of the Class A Ordinary Shares over their fair market value as of the close of the taxable year. Such ordinary loss, however, is allowable only to the extent of any net mark-to-market gains on the Class A Ordinary Shares included in your income for prior taxable years. Amounts included in your income under a mark-to-market election, as well as gain on the actual sale or other disposition of the Class A Ordinary Shares, are treated as ordinary income. Ordinary loss treatment also applies to any loss realized on the actual sale or disposition of the Class A Ordinary Shares, to the extent that the amount of such loss does not exceed the net mark-to-market gains previously included for such Class A Ordinary Shares. Your basis in the Class A Ordinary Shares will be adjusted to reflect any such income or loss amounts. If you make a valid mark-to-market election, the tax rules that apply to distributions by corporations which are not PFICs would apply to distributions by us, except that the lower applicable capital gains rate for qualified dividend income discussed above under “-Taxation of Dividends and Other Distributions on our Class A Ordinary Shares” generally would not apply.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mark-to-market election is available only for “marketable stock,” which is stock that is traded in other than de minimis quantities on at least 15 days during each calendar quarter (“regularly traded”) on a qualified exchange or other market (as defined in applicable U.S. Treasury regulations), including the Nasdaq Capital Market. If the Class A Ordinary Shares are regularly traded on the Nasdaq Capital Market and if you are a holder of Class A Ordinary Shares, the mark-to-market election would be available to you were we to be or become a PFIC. Our Class A Ordinary Shares are presently traded on the Nasdaq Capital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Alternatively, a U.S. Holder of stock in a PFIC may make a “qualified electing fund” election under Section 1295(b) of the U.S. Internal Revenue Code with respect to such PFIC to elect out of the tax treatment discussed above. A U.S. Holder who makes a valid qualified electing fund election with respect to a PFIC will generally include in gross income for a taxable year such holder’s pro rata share of the corporation’s earnings and profits for the taxable year. The qualified electing fund election, however, is available only if such PFIC provides such U.S. Holder with certain information regarding its earnings and profits as required under applicable U.S. Treasury regulations. We do not prepare or provide the information that would enable you to make a qualified electing fund election. If you hold Class A Ordinary Shares in any taxable year in which we are a PFIC, you will be required to file U.S. Internal Revenue Service Form 8621 in each such year and provide certain annual information regarding such Class A Ordinary Shares, including regarding distributions received on the Class A Ordinary Shares and any gain realized on the disposition of the Class A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do not make a timely “mark-to-market” election (as described above), and if we were a PFIC at any time during the period you hold our Class A Ordinary Shares, then such Class A Ordinary Shares will continue to be treated as stock of a PFIC with respect to you even if we cease to be a PFIC in a future year, unless you make a “purging election” for the year we cease to be a PFIC. A “purging election” creates a deemed sale of such Class A Ordinary Shares at their fair market value on the last day of the last year in which we are treated as a PFIC. The gain recognized by the purging election will be subject to the special tax and interest charge rules treating the gain as an excess distribution, as described above. As a result of the purging election, you will have a new basis (equal to the fair market value of the Class A Ordinary Shares on the last day of the last year in which we are treated as a PFIC) and holding period (which new holding period will begin the day after such last day) in your Class A Ordinary Shares for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IRC Section 1014(a) provides for a step-up in basis to the fair market value for our Class A Ordinary Shares when inherited from a decedent that was previously a holder of our Class A Ordinary Shares. However, if we are determined to be a PFIC and a decedent that was a U.S. Holder did not make either a timely qualified electing fund election for our first taxable year as a PFIC in which the U.S. Holder held (or was deemed to hold) our Class A Ordinary Shares, or a mark-to-market election and ownership of those Class A Ordinary Shares are inherited, a special provision in IRC Section 1291(e) provides that the new U.S. Holder’s basis should be reduced by an amount equal to the Section 1014 basis minus the decedent’s adjusted basis just before death. As such if we are determined to be a PFIC at any time prior to a decedent’s passing, the PFIC rules will cause any new U.S. Holder that inherits our Class A Ordinary Shares from a U.S. Holder to not get a step-up in basis under Section 1014 and instead will receive a carryover basis in those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urged to consult your tax advisors regarding the application of the PFIC rules to your investment in our Class A Ordinary Shares and the elections discussed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Reporting and Backup Withholding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payments with respect to our Class A Ordinary Shares and proceeds from the sale, exchange, or redemption of our Class A Ordinary Shares may be subject to information reporting to the U.S. Internal Revenue Service and possible U.S. backup withholding under Section 3406 of the U.S. Internal Revenue Code with at a current flat rate of 24%. Backup withholding will not apply, however, to a U.S. Holder who furnishes a correct taxpayer identification number and makes any other required certification on U.S. Internal Revenue Service Form W-9 or who is otherwise exempt from backup withholding. U.S. Holders who are required to establish their exempt status generally must provide such certification on U.S. Internal Revenue Service Form W-9. U.S. Holders are urged to consult their tax advisors regarding the application of the U.S. information reporting and backup withholding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Amounts withheld as backup withholding may be credited against your U.S. federal income tax liability, and you may obtain a refund of any excess amounts withheld under the backup withholding rules by filing the appropriate claim for refund with the U.S. Internal Revenue Service and furnishing any required information. We do not intend to withhold taxes for individual shareholders. Transactions effected by certain brokers or other intermediaries, however, may be subject to withholding taxes (including backup withholding), and such brokers or intermediaries may be required by law to withhold such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Hiring Incentives to Restore Employment Act of 2010, certain U.S. Holders are required to report information relating to our Class A Ordinary Shares, subject to certain exceptions (including an exception for Class A Ordinary Shares held in accounts maintained by certain financial institutions), by attaching a complete Internal Revenue Service Form 8938, Statement of Specified Foreign Financial Assets, with their tax return for each year in which they hold Class A Ordinary Shares. Failure to report such information could result in substantial penalties. You should consult your own tax advisor regarding your obligation to file a Form 8938.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Dividends and Paying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Statement by 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Documents on Display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periodic reporting and other informational requirements of the Exchange Act. Under the Exchange Act, we are required to file reports and other information with the SEC. Specifically, we are required to file annually a Form 20-F within four months after the end of each fiscal year. The SEC maintains a website at http://www.sec.gov that contains reports, proxy and information statements, and other information regarding registrants that make electronic filings with the SEC using its EDGAR system. As a foreign private issuer, we are exempt from the rules of the Exchange Act prescribing, among other things, the furnishing and content of proxy statements to shareholders, and our executive officers, directors and principal shareholders are exempt from the reporting and short-swing profit recovery provisions contained in Section 16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Subsidiary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listing of our subsidiaries and the VIEs, see “Item 3. Key Information-Our Corporate Structure-Corporate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Annual Report to Security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Item 11.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Exchange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of our business is conducted in the PRC, and most of our books and records are maintained in RMB. The financial statements that we file with the SEC and provide to our shareholders are presented in U.S. dollars. Changes in the exchange rates between the RMB and U.S. dollar affect the value of the PRC Stores’ assets and results of operations, when presented in U.S.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 of the RMB against the U.S. dollar and other currencies may fluctuate and is affected by, among other things, changes in the PRC’s political and economic conditions and perceived changes in the economy of the PRC and the United States. Any significant revaluation of the RMB may materially and adversely affect our cash flows, revenue, and financial condition. Further, our Class A Ordinary Shares offered in the U.S. are offered in U.S. dollars, and we need to convert the net proceeds we receive into RMB in order to use the funds for the PRC Stores’ business. Changes in the conversion rate among the U.S. dollar and the RMB will affect the amount of proceeds we will have available for the PRC Stores’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limited hedging options are available in China to reduce our exposure to exchange rate fluctuations. To date, we have not entered into any hedging transactions in an effort to reduce our exposure to foreign currency exchange risk. While we may decide to enter into more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RMB into foreign currency. As a result, fluctuations in exchange rates may have a material adverse effect on your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Credit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us to significant concentrations of credit risk consist primarily of cash. As of December 31, 2025 and 2024, $8,453,345 and $11,943,199 of our cash was on deposit at financial institutions in the PRC, where there currently is no rule or regulation requiring such financial institutions to maintain insurance to cover bank deposits in the event of bank failure. As of December 31, 2025 and 2024, $85,782 and $107,550 of our cash was on deposit at financial institutions in the U.S. which were insured by the Federal Deposit Insurance Corporation subject to certain limitations. While management believes that these financial institutions are of high credit quality, it also continually monitors their credit worthiness.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typically unsecured and derived from revenue earned from customers, thereby exposed to credit risk. The risk is mitigated by our assessment of its customers’ creditworthiness and its ongoing monitoring of outstanding balances.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Rate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used derivative financial instruments to hedge interest risk. Interest-earning instruments carry a degree of interest rate risk. We have not been exposed, nor do we anticipate being exposed to material risks due to changes in market interest rates. However, our future interest income may fall short of expectations due to changes in market interest rates.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Inflation and Supply Chain Impacts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the PRC Stores have not been materially impacted by inflation or supply chain disruptions as their raw material, electricity, and fuel prices and labor costs remain stable and the PRC Stores have been regularly introducing new products and adjusting the prices for their existing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Rising inflation, geopolitical conflicts, including the recent war in Ukraine, and the related supply chain disruptions have had a direct or indirect impact on the business and operations of the U.S. Stores.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inflation rate in the U.S. was 2.9% in 2024, according to the Council of Economic Advisers. Increases in the inflation rate of prices of commodities that are inputs to the products and services of the U.S. Stores, such as agricultural and energy commodities, have led to higher raw material, fuel, freight, warehousing, and labor costs and operating expenses. If the disposable income of the customers of the U.S. Stores does not increase at a similar rate as inflation does, the U.S. Stores’ sales could suffer, which could materially and adversely affect their business and financial condition and cause the U.S. Stores to have additional working capital needs. However, the U.S. Stores cannot predict whether or how long the higher inflation rates will persist. See “Item 3. Key Information-D. Risk Factors-Risks Relating to Our Business-The operating entities’ inability to source raw materials or other inputs of an acceptable type or quality could adversely affect their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although the U.S. Stores do not have any operations outside of the U.S. nor any business relationships, connections to, or assets in, Russia, Belarus, or Ukraine, their business, financial condition, and results of operations have been, and could continue to be, indirectly and adversely affected by the ongoing military conflict between Russia and Ukraine. Such impact arises from: (i) volatility in the global supply of wheat, corn, barley, sunflower oil, and other agricultural commodities; (ii) higher food prices due to supply constraints and the general inflationary impact of the war; (iii) increases in energy prices globally, in particular for electricity and fossil fuels, such as crude oil and natural gas, and related transportation, freight, and warehousing costs; and (iv) disruptions to logistics and supply chains. See “Item 3. Key Information-D. Risk Factors-Risks Relating to Our Business-The PRC Stores and the U.S. Stores are currently operating in a period of economic uncertainty and capital markets disruption, which has been significantly impacted by geopolitical instability due to the ongoing military conflict between Russia and Ukraine. Their business, financial condition, and results of operations may be materially and adversely affected by any negative impact on the global economy and capital markets resulting from the conflict in Ukraine or any other geopolitical tensions.”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supply chains of the U.S. Stores from rising inflation and geopolitical tensions primarily consists of (i) higher purchase prices and fuel, freight, and warehousing costs for raw materials and other products, (ii) delays in the manufacturing, processing, and transportation of raw materials and other products; and (iii) logistics and operational disruptions. Future interruptions or friction in the supply chains of the U.S. Stores, as well as anticipation of interruptions or friction, may cause them to be unable to meet customer demand, retain extra inventory, and make operational plans with less precision. Each of these impacts, if the U.S. Stores are affected more than their competitors, could materially and adversely affect their business, adversely impact their prices and/or margins, and cause them to have additional working capital needs.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2022, to mitigate the increases in costs and expenses described above, the U.S. Stores implemented more stringent and accurate inventory management and upgraded their menus to introduce new products, such as the cocktail products, with higher prices and increase the prices of existing products. However, if the costs and expenses described above continue to increase, there can be assurance that the U.S. Stores can continue to increase prices to maintain their margins. Lower margins could adversely impact the profitability of the businesses of the U.S. Stores. If the amounts the U.S. Stores charge their customers increase at a rate that is either unaffordable to their customers or insufficient to compensate for the rise in their material costs and operational expenses, their business may be materially and adversely affected, their product margin may deteriorate, and they may have additional working capital needs. We do not believe that such mitigation efforts have introduced any other new material risks, including, but not limited to, those related to product quality or reliability or regulatory approval. See “Item 3. Key Information-D. Risk Factors-Risks Relating to Our Business-The inability of the PRC Stores and the U.S. Stores to pass on price increases for materials or other inputs to their customers could adversely affect our results of operations.” In order to mitigate the potential adverse impact of price increases on their financial condition and results of operations, the U.S. Stores plan to continue to improve their operating efficiency and further strengthen their bargaining power with their suppliers through the continued expansion of their store network.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7" w:name="a_016"/>
      <w:bookmarkEnd w:id="17"/>
      <w:r>
        <w:rPr>
          <w:rFonts w:ascii="Times New Roman;Times;Serif" w:hAnsi="Times New Roman;Times;Serif"/>
          <w:b/>
          <w:i w:val="false"/>
          <w:caps w:val="false"/>
          <w:smallCaps w:val="false"/>
          <w:sz w:val="20"/>
        </w:rPr>
        <w:t>Item 12. DESCRIPTION OF SECURITIES OTHER THAN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Warrants and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Other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American Depositary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a_017"/>
      <w:bookmarkEnd w:id="18"/>
      <w:r>
        <w:rPr>
          <w:rFonts w:ascii="Times New Roman;Times;Serif" w:hAnsi="Times New Roman;Times;Serif"/>
          <w:b/>
          <w:i w:val="false"/>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9" w:name="a_018"/>
      <w:bookmarkEnd w:id="19"/>
      <w:r>
        <w:rPr>
          <w:rFonts w:ascii="Times New Roman;Times;Serif" w:hAnsi="Times New Roman;Times;Serif"/>
          <w:b/>
          <w:i w:val="false"/>
          <w:caps w:val="false"/>
          <w:smallCaps w:val="false"/>
          <w:sz w:val="20"/>
        </w:rPr>
        <w:t>Item 13. DEFAULTS, DIVIDEND ARREARAGES AND DELINQUENCIES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0" w:name="a_019"/>
      <w:bookmarkEnd w:id="20"/>
      <w:r>
        <w:rPr>
          <w:rFonts w:ascii="Times New Roman;Times;Serif" w:hAnsi="Times New Roman;Times;Serif"/>
          <w:b/>
          <w:i w:val="false"/>
          <w:caps w:val="false"/>
          <w:smallCaps w:val="false"/>
          <w:sz w:val="20"/>
        </w:rPr>
        <w:t>Item 14. MATERIAL MODIFICATIONS TO THE RIGHTS OF SECURITY HOLDERS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Material Modifications to the Rights of Security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26, 2024, the shareholders of the Company approved amendment to the Company’s then-effective articles of association where the number of votes holders of Class B Ordinary Shares that are entitled to cast on a poll had been increased from 10 votes to 50 votes. The details of the increase of the number of votes attached to the Class B Ordinary Shares are described in the report of foreign private issuer on Form 6-K filed with the SEC on December 27, 2024 (File No. 001-41663), which is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extraordinary general meeting of shareholders of the Company held on March 12, 2025, the shareholders of the Company resolved to increase the Company’s authorized share capital from US$50,000 divided into 44,000,000 Class A Ordinary Shares of US$0.001 par value each and 6,000,000 Class B Ordinary Shares of US$0.001 par value each, to US$5,000,000 divided into 4,400,000,000 Class A Ordinary Shares of US$0.001 par value each and 600,000,000 Class B Ordinary Shares of US$0.001 par value each. The details of such increase of the Company’s authorized capital are described in the report of foreign private issuer on Form 6-K filed with the SEC on March 17, 2025 (File No. 001-41663), which is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extraordinary general meeting of shareholders of the Company held on March 12, 2025, the shareholders of the Company approved that the authorised, issued, and outstanding shares of the Company (collectively, the “Shares) be consolidated by consolidating each 250 Shares of the Company, or such lesser whole share amount as the Board of Directors may determine in its sole discretion, such amount not to be less than 2, into 1 Share of the Company, with such consolidated Shares having the same rights and being subject to the same restrictions (save as to nominal value) as the existing Shares of such class as set out in the Company’s memorandum and articles of association (the “Share Consolidation”). The shareholders also approved the adoption an amended and restated memorandum of association in substitution for, and to the exclusion of, the Company’s existing memorandum of association, to reflect the Share Consolidation. On August 1, 2025, the board of directors of the Company passed the resolutions that the authorised, issued and outstanding Shares shall be consolidated on a 80 for 1 ratio, which shall have the effect of reducing the number of: (a) authorized Class A ordinary shares from 4,400,000,000 Class A ordinary shares with a par value of US$0.001 per share to 55,000,000 Class A ordinary shares with a par value of US$0.08 per share; (b) authorized Class B ordinary shares from 600,000,000 Class B ordinary shares with a par value of US$0.001 per share to 7,500,000 Class B ordinary shares with a par value of US$0.08 per share; (c) issued and outstanding Class A ordinary shares from 85,910,957 Class A ordinary shares with a par value of US$0.001 per share to approximately 1,073,887 Class A ordinary shares with a par value of US$0.08 per share, subject to the rounding as a result of the treatment of fractional shares; and (d) issued and outstanding Class B ordinary shares from 5,670,000 Class B ordinary shares with a par value of US$0.001 per share to approximately 70,875 Class B ordinary shares with a par value of US$0.08 per share, subject to the rounding as a result of the treatment of fractional shares. The Share Consolidation became effective on August 18,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extraordinary general meeting of shareholders of the Company held on November 12, 2025, the shareholders of the Company resolved to increase the Company’s authorized share capital from US$5,000,000 divided into 55,000,000 Class A Ordinary Shares of US$0.08 par value each and 7,500,000 Class B Ordinary Shares of US$0.08 par value each to US$165,000,000 divided into 2,055,000,000 Class A Ordinary Shares of US$0.08 par value each and 7,500,000 Class B Ordinary Shares of US$0.08 par value each. The details of such increase of the Company’s authorized capital are described in the report of foreign private issuer on Form 6-K filed with the SEC on November 14, 2025 (File No. 001-41663), which is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extraordinary general meeting of shareholders of the Company held on February 23, 2026, the shareholders of the Company resolved to (i) increase the Company’s authorized share capital from US$165,000,000 divided into 2,055,000,000 Class A Ordinary Shares of US$0.08 par value each and 7,500,000 Class B Ordinary Shares of US$0.08 par value each to US$330,000,000 divided into 4,110,000,000 Class A Ordinary Shares of US$0.08 par value each and 15,000,000 Class B Ordinary Shares of US$0.08 par value each (“Share Capital Increase”); (ii) subject to the Share Capital Increase being effected, the par value of each issued and outstanding Class A Ordinary Share of US$0.08 par value each and Class B Ordinary Share of US$0.08 par value each in the share capital of the Company be reduced to US$0.0001 by cancelling US$0.0799 of the paid-up capital on each of the issued and outstanding Class A Ordinary Shares of US$0.08 par value each and Class B Ordinary Shares of US$0.08 par value each (the “Share Capital Reduction”); (iii) immediately following the Share Capital Reduction: i. each authorised but unissued Class A Ordinary Shares of US$0.08 par value each be subdivided into 800 Class A Ordinary Shares of US$0.0001 par value each; and ii. each authorised but unissued Class B Ordinary Share of US$0.08 par value each be subdivided into 800 Class B Ordinary Shares of US$0.0001 par value each (the “Subdivision”); and (iv) immediately following the Subdivision, the authorised share capital of the Company be altered by the cancellation of such number of unissued Class A Ordinary Shares of US$0.0001 par value each and unissued Class B Ordinary Shares of US$0.0001 par value each that will result in the Company having authorised share capital of US$412,500 divided into 4,110,000,000 Class A Ordinary Shares of US$0.0001 par value each and 15,000,000 Class B Ordinary Shares of US$0.0001 par value each (the “Cancellation”). Immediately following the Share Capital Reduction, the Subdivision and Cancellation, the authorised share capital of the Company shall be US$412,500 divided into 4,110,000,000 Class A Ordinary Shares of US$0.0001 par value each and 15,000,000 Class B Ordinary Shares of US$0.0001 par value each. The details of such reduction and reorganization of the Company’s authorized capital are described in the report of foreign private issuer on Form 6-K filed with the SEC on February 25, 2026 (File No. 001-41663), which is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1" w:name="a_020"/>
      <w:bookmarkEnd w:id="21"/>
      <w:r>
        <w:rPr>
          <w:rFonts w:ascii="Times New Roman;Times;Serif" w:hAnsi="Times New Roman;Times;Serif"/>
          <w:b/>
          <w:i w:val="false"/>
          <w:caps w:val="false"/>
          <w:smallCaps w:val="false"/>
          <w:sz w:val="20"/>
        </w:rPr>
        <w:t>Item 15.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supervision and with the participation of our management, including our chief executive officer and chief financial officer, we carried out an evaluation of the effectiveness of our disclosure controls and procedures, which is defined in Rules 13a-15(e) of the Exchange Act,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that evaluation, our management has concluded that, due to the material weakness described below, as of December 31, 2025, our disclosure controls and procedures were not effective. Our conclusion is based on the fact that we do not have sufficient in-house personnel in our accounting department with sufficient knowledge of the U.S. GAAP and SEC reporting rules, which led to a material weakness. Our management is currently in the process of evaluating the steps necessary to remediate the material weakness, such as (i) hiring more qualified accounting personnel with relevant U.S. GAAP and SEC reporting experience and qualifications to strengthen the financial reporting function and to set up a financial and system control framework, and (ii) implementing regular and continuous U.S. GAAP accounting and financial reporting training programs for our accounting and financial reporting personnel.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Annual Report on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our financial reporting and the preparation of financial statements for external purposes in accordance with U.S. GAAP and includes those policies and procedures that (1) pertain to the maintenance of records that, in reasonable detail, accurately and fairly reflect the transactions and dispositions of the assets of our company; (2) provide reasonable assurance that transactions are recorded as necessary to permit preparation of consolidated financial statements in accordance with GAAP, and that receipts and expenditures of our company are being made only in accordance with authorizations of our management and directors; and (3) provide reasonable assurance regarding prevention or timely detection of the unauthorized acquisition, use or disposition of our company’s assets that could have a material effect on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its inherent limitations, internal control over financial reporting may not prevent or detect misstatements. Also, projections of any evaluation of effectiveness of our internal control over financial reporting to future periods are subject to the risks that controls may become inadequate because of changes in conditions, or that the degree of compliance with the policies or procedures may deteriorate.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Rule 13a-15(c) of the Exchange Act, our management conducted an evaluation of our company’s internal control over financial reporting as of December 31, 2025 based on the framework in Internal Control-Integrated Framework (2013) issued by the Committee of Sponsoring Organizations of the Treadway Commission. Based on this evaluation, our management concluded that our internal control over financial reporting was ineffective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reporting requirements set forth by the SEC, a “material weakness” is a deficiency, or a combination of deficiencies, in internal control over financial reporting, such that there is a reasonable possibility that a material misstatement of our company’s annual consolidated financial statements will not be prevented or detected on a timely basis. A “significant deficiency” is a deficiency, or a combination of deficiencies, in internal control over financial reporting that is less severe than a material weakness, yet important enough to merit attention by those responsible for oversight of the company’s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identified the following material weakness: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Lack of sufficient personnel with appropriate U.S. GAAP expertise to address complex accounting, disclosure, and SEC reporting requirements.</w:t>
            </w:r>
          </w:p>
        </w:tc>
      </w:tr>
    </w:tbl>
    <w:p>
      <w:pPr>
        <w:pStyle w:val="TextBody"/>
        <w:bidi w:val="0"/>
        <w:spacing w:before="0" w:after="0"/>
        <w:ind w:left="50" w:right="0" w:hanging="0"/>
        <w:jc w:val="both"/>
        <w:rPr>
          <w:caps w:val="false"/>
          <w:smallCaps w:val="false"/>
        </w:rPr>
      </w:pPr>
      <w:r>
        <w:rPr>
          <w:caps w:val="false"/>
          <w:smallCaps w:val="false"/>
        </w:rPr>
        <w:t> </w:t>
      </w:r>
    </w:p>
    <w:p>
      <w:pPr>
        <w:pStyle w:val="TextBody"/>
        <w:bidi w:val="0"/>
        <w:spacing w:before="0" w:after="0"/>
        <w:ind w:left="5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also identified the following significant deficiencies:</w:t>
      </w:r>
    </w:p>
    <w:p>
      <w:pPr>
        <w:pStyle w:val="TextBody"/>
        <w:bidi w:val="0"/>
        <w:spacing w:before="0" w:after="0"/>
        <w:ind w:left="5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Deficiencies in IT general controls relating to change management, including the absence of documented approval for certain system changes;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Deficiencies in controls over accounts payable, specifically relating to monitoring of supplier payment terms, aging of balances, and documentation of payment arrangements.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foregoing material weakness and significant deficiencies, management concluded that as of December 31, 2025, our internal control over financial reporting was ineffective.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address the above-identified material weakness and significant deficiencies, management has initiated the following remediation measures , including (i) hiring personnel with U.S. GAAP expertise to strengthen the financial reporting function, (ii) enhancing review controls over financial reporting and disclosures, (iii) strengthening IT general controls, including formalization of change management procedures, and (iv) improving controls over accounts payable, including: formal documentation of supplier payment terms, monitoring of overdue balances, and periodic review of aging reports.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these remediation measures have not been in operation for a sufficient period to confirm their effectiveness, and we cannot assure you that we will remediate our material weakness and significant deficiencies in a timely manner, or at all. See “Item 3. Key Information-D. Risk Factors-Risks Relating to Our Class A Ordinary Shares and the Trading Market-If we fail to establish and maintain an effective system of internal control over financial reporting, our ability to accurately and timely report our financial results or prevent fraud may be adversely affected, and investor confidence and the market price of our Class A Ordinary Shares may be adversely impacted.”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145</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Attestation Report of the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on Form 20-F does not include an attestation report of our registered public accounting firm regarding internal control over financial reporting. Management’s report was not subject to attestation by our registered public accounting firm pursuant to rules of the SEC where domestic and foreign registrants that are non-accelerated filers, which we are, and “emerging growth companies,” which we also are, are not required to provide the auditor attestation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our internal controls over financial reporting that occurred during the period covered by this annual report on Form 20-F that have materially affected, or are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2" w:name="a_021"/>
      <w:bookmarkEnd w:id="22"/>
      <w:r>
        <w:rPr>
          <w:rFonts w:ascii="Times New Roman;Times;Serif" w:hAnsi="Times New Roman;Times;Serif"/>
          <w:b/>
          <w:i w:val="false"/>
          <w:caps w:val="false"/>
          <w:smallCaps w:val="false"/>
          <w:sz w:val="20"/>
        </w:rPr>
        <w:t>Item 16.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3" w:name="a_022"/>
      <w:bookmarkEnd w:id="23"/>
      <w:r>
        <w:rPr>
          <w:rFonts w:ascii="Times New Roman;Times;Serif" w:hAnsi="Times New Roman;Times;Serif"/>
          <w:b/>
          <w:i w:val="false"/>
          <w:caps w:val="false"/>
          <w:smallCaps w:val="false"/>
          <w:sz w:val="20"/>
        </w:rPr>
        <w:t>Item 16A. AUDIT COMMITTEE FINANCIAL EXPERT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Bin Li qualifies as an “audit committee financial expert” as defined in Item 16A of Form 20-F. Mr. Bin Li satisfies the “independence” requirements of Section 5605(a)(2) of the NASDAQ Listing Rules as well as the independence requirements of Rule 10A-3 under the Exchange Act. See “Item 6. Directors, Senior Management and Employees-A. Directors and Senior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4" w:name="a_023"/>
      <w:bookmarkEnd w:id="24"/>
      <w:r>
        <w:rPr>
          <w:rFonts w:ascii="Times New Roman;Times;Serif" w:hAnsi="Times New Roman;Times;Serif"/>
          <w:b/>
          <w:i w:val="false"/>
          <w:caps w:val="false"/>
          <w:smallCaps w:val="false"/>
          <w:sz w:val="20"/>
        </w:rPr>
        <w:t>Item 16B. CODE OF ETHICS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adopted a code of business conduct and ethics, which is applicable to all of our directors, officers, and employees. Our code of business conduct and ethics is publicly available on our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5" w:name="a_024"/>
      <w:bookmarkEnd w:id="25"/>
      <w:r>
        <w:rPr>
          <w:rFonts w:ascii="Times New Roman;Times;Serif" w:hAnsi="Times New Roman;Times;Serif"/>
          <w:b/>
          <w:i w:val="false"/>
          <w:caps w:val="false"/>
          <w:smallCaps w:val="false"/>
          <w:sz w:val="20"/>
        </w:rPr>
        <w:t>Item 16C. PRINCIPAL ACCOUNTANT FEES AND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aggregate fees by categories specified below in connection with certain professional services rendered and billed by Assentsure, our independent registered public accounting firm since July 10, 2023, and Marcum Asia, our independent registered public accounting firm from September 29, 2022 to July 9, 2023, for the years indicated.</w:t>
      </w:r>
    </w:p>
    <w:p>
      <w:pPr>
        <w:pStyle w:val="TextBody"/>
        <w:bidi w:val="0"/>
        <w:spacing w:before="0" w:after="0"/>
        <w:ind w:left="0" w:right="0" w:hanging="0"/>
        <w:jc w:val="left"/>
        <w:rPr>
          <w:caps w:val="false"/>
          <w:smallCaps w:val="false"/>
        </w:rPr>
      </w:pPr>
      <w:r>
        <w:rPr>
          <w:caps w:val="false"/>
          <w:smallCaps w:val="false"/>
        </w:rPr>
        <w:t> </w:t>
      </w:r>
    </w:p>
    <w:tbl>
      <w:tblPr>
        <w:tblW w:w="6033" w:type="dxa"/>
        <w:jc w:val="left"/>
        <w:tblInd w:w="0" w:type="dxa"/>
        <w:tblLayout w:type="fixed"/>
        <w:tblCellMar>
          <w:top w:w="0" w:type="dxa"/>
          <w:left w:w="0" w:type="dxa"/>
          <w:bottom w:w="0" w:type="dxa"/>
          <w:right w:w="0" w:type="dxa"/>
        </w:tblCellMar>
      </w:tblPr>
      <w:tblGrid>
        <w:gridCol w:w="2165"/>
        <w:gridCol w:w="90"/>
        <w:gridCol w:w="184"/>
        <w:gridCol w:w="901"/>
        <w:gridCol w:w="97"/>
        <w:gridCol w:w="97"/>
        <w:gridCol w:w="184"/>
        <w:gridCol w:w="901"/>
        <w:gridCol w:w="97"/>
        <w:gridCol w:w="97"/>
        <w:gridCol w:w="184"/>
        <w:gridCol w:w="901"/>
        <w:gridCol w:w="135"/>
      </w:tblGrid>
      <w:tr>
        <w:trPr/>
        <w:tc>
          <w:tcPr>
            <w:tcW w:w="216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3643"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Years Ended December 31,</w:t>
            </w:r>
          </w:p>
        </w:tc>
        <w:tc>
          <w:tcPr>
            <w:tcW w:w="135"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135" w:type="dxa"/>
            <w:tcBorders/>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Audit fees (1)</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192,215</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227,000</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210,000</w:t>
            </w:r>
          </w:p>
        </w:tc>
        <w:tc>
          <w:tcPr>
            <w:tcW w:w="135" w:type="dxa"/>
            <w:tcBorders/>
            <w:shd w:fill="CCEEFF" w:val="clear"/>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Audit-Related fees (2)</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1"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140,125</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1"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119,330</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1"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14,330</w:t>
            </w:r>
          </w:p>
        </w:tc>
        <w:tc>
          <w:tcPr>
            <w:tcW w:w="135" w:type="dxa"/>
            <w:tcBorders/>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Tax fees</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5" w:type="dxa"/>
            <w:tcBorders/>
            <w:shd w:fill="CCEEFF" w:val="clear"/>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 other fees</w:t>
            </w:r>
          </w:p>
        </w:tc>
        <w:tc>
          <w:tcPr>
            <w:tcW w:w="90" w:type="dxa"/>
            <w:tcBorders/>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901"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901"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 </w:t>
            </w:r>
          </w:p>
        </w:tc>
        <w:tc>
          <w:tcPr>
            <w:tcW w:w="901"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35" w:type="dxa"/>
            <w:tcBorders/>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90" w:type="dxa"/>
            <w:tcBorders/>
            <w:shd w:fill="CCEEFF" w:val="clear"/>
            <w:vAlign w:val="center"/>
          </w:tcPr>
          <w:p>
            <w:pPr>
              <w:pStyle w:val="TableContents"/>
              <w:bidi w:val="0"/>
              <w:spacing w:before="0" w:after="283"/>
              <w:jc w:val="left"/>
              <w:rPr/>
            </w:pPr>
            <w:r>
              <w:rPr/>
              <w:t> </w:t>
            </w:r>
          </w:p>
        </w:tc>
        <w:tc>
          <w:tcPr>
            <w:tcW w:w="184"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1"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332,340</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84"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1"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346,330</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84"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1"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224,330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Audit fees include the aggregate fees billed for each of the fiscal years for professional services rendered by our independent registered public accounting firm for the audit of our annual financial statements.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Audit-related fees include the aggregate fees billed in each of the fiscal years for assurance and related services by our independent registered public accounting firm that are reasonably related to the performance of the audit or review of our financial statements and are not reported under audit fees.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policy of our audit committee is to pre-approve all audit and non-audit services provided by our independent registered public accounting firm, including audit services, audit-related services, tax services, and other services as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6" w:name="a_025"/>
      <w:bookmarkEnd w:id="26"/>
      <w:r>
        <w:rPr>
          <w:rFonts w:ascii="Times New Roman;Times;Serif" w:hAnsi="Times New Roman;Times;Serif"/>
          <w:b/>
          <w:i w:val="false"/>
          <w:caps w:val="false"/>
          <w:smallCaps w:val="false"/>
          <w:sz w:val="20"/>
        </w:rPr>
        <w:t>Item 16D. EXEMPTIONS FROM THE LISTING STANDARDS FOR AUDIT COMMITTEES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7" w:name="a_026"/>
      <w:bookmarkEnd w:id="27"/>
      <w:r>
        <w:rPr>
          <w:rFonts w:ascii="Times New Roman;Times;Serif" w:hAnsi="Times New Roman;Times;Serif"/>
          <w:b/>
          <w:i w:val="false"/>
          <w:caps w:val="false"/>
          <w:smallCaps w:val="false"/>
          <w:sz w:val="20"/>
        </w:rPr>
        <w:t>Item 16E. PURCHASES OF EQUITY SECURITIES BY THE ISSUER AND AFFILIATED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8" w:name="a_027"/>
      <w:bookmarkEnd w:id="28"/>
      <w:r>
        <w:rPr>
          <w:rFonts w:ascii="Times New Roman;Times;Serif" w:hAnsi="Times New Roman;Times;Serif"/>
          <w:b/>
          <w:i w:val="false"/>
          <w:caps w:val="false"/>
          <w:smallCaps w:val="false"/>
          <w:sz w:val="20"/>
        </w:rPr>
        <w:t>Item 16F. CHANGE IN REGISTRANT’S CERTIFYING ACCOUNTANT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10, 2023, the Company appointed Assentsure as its independent registered public accounting firm, effective on the same day. Assentsure replaced Marcum Asia, the former independent registered public accounting firm of the Company, which the Company dismissed on July 9, 2023. The appointment of Assentsure and the dismissal of Marcum Asia were made after careful consideration and evaluation process by the Company and were approved by the audit committee of the board of directors of the Company. The Company’s decision was not as a result of any disagreement between the Company and Marcum Asia on any matter of accounting principles or practices, financial statement disclosure, or auditing scope or procedure.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Marcum Asia served as the Company’s independent public accounting firm from November 10, 2022 to July 9, 2023. The audit report of Marcum Asia on the consolidated financial statements of the Company as of December 31, 2022 and for the year ended December 31, 2022 did not contain an adverse opinion or disclaimer of opinion and was not qualified or modified as to uncertainty, audit scope, or accounting principles. During the Company’s engagement of Marcum Asia until July 9, 2023, there had been no disagreements with Marcum Asia on any matter of accounting principles or practices, financial statement disclosure, or auditing scope or procedure, which disagreements, if not resolved to Marcum Asia’s satisfaction, would have caused Marcum Asia to make reference to the subject matter of the disagreement in connection with its reports on the Company’s financial statements for such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Company’s engagement of Marcum Asia until July 9, 2023, there were no “reportable events” as that term is described in Item 16F(a)(1)(v) of Form 20-F, other than the material weaknesses reported by management in the Risk Factors section of the Company’s Annual Report on Form 20-F filed with the U.S. Securities and Exchange Commission, or SEC, on May 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two most recent fiscal years and any subsequent interim periods prior to the engagement of Assentsure, neither the Company, nor someone on behalf of the Company, has consulted Assentsure regarding either (a) the application of accounting principles to a specified transaction, either completed or proposed; or the type of audit opinion that might be rendered on the Company’s consolidated financial statements, and neither a written report was provided to the Company or oral advice was provided that Assentsure concluded was an important factor considered by the Company in reaching a decision as to the accounting, auditing, or financial reporting issue; or (b) any matter that was the subject of a disagreement as defined in Item 16F(a)(1)(iv) of Form 20-F and related instructions to Item 16F of Form 20-F, or any reportable events as described in Item 16F(a)(1)(v) of Form 20-F.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Marcum Asia’s letter addressed to the SEC stating whether or not it agrees with the above statement is attached as Exhibit 15.2 of this annual report. The details of our change of auditor are described in the report of foreign private issuer on Form 6-K filed with the SEC on July 11, 2023 (File No. 001-41663), which is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9" w:name="a_028"/>
      <w:bookmarkEnd w:id="29"/>
      <w:r>
        <w:rPr>
          <w:rFonts w:ascii="Times New Roman;Times;Serif" w:hAnsi="Times New Roman;Times;Serif"/>
          <w:b/>
          <w:i w:val="false"/>
          <w:caps w:val="false"/>
          <w:smallCaps w:val="false"/>
          <w:sz w:val="20"/>
        </w:rPr>
        <w:t>Item 16G. CORPORATE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Cayman Islands company listed on the Nasdaq Capital Market, we are subject to the Nasdaq corporate governance listing standards. Nasdaq rules, however, permit a foreign private issuer like us to follow the corporate governance practices of its home country. Certain corporate governance practices in the Cayman Islands, which is our home country, may differ significantly from the Nasdaq corporate governance listing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Listing Rule 5635 generally provides that shareholder approval is required of U.S. domestic companies listed on Nasdaq prior to issuance (or potential issuance) of securities (i) equaling 20% or more of the company’s common stock or voting power for less than the greater of market or book value (ii) resulting in a change of control of the company; and (iii) which is being issued pursuant to a stock option or purchase plan to be established or materially amended or other equity compensation arrangement made or materially amended. Notwithstanding this general requirement, Nasdaq Listing Rule 5615(a)(3)(A) permits foreign private issuers to follow their home country practice rather than these shareholder approval requirements. The Cayman Islands do not require shareholder approval prior to any of the foregoing types of issuances. We, therefore, are not required to obtain such shareholder approval prior to entering into a transaction with the potential to issue securities as described above. We decided to follow home country practice in lieu of the requirements under Nasdaq listing rules with respect to shareholder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decided to follow home country practice in lieu of the requirements under Nasdaq listing rules that we hold an annual meeting of shareholders no later than one year after the end of the Company’s fiscal year-end.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Listing Rule 5605(b)(1) requires listed companies to have, among other things, a majority of its board members be independent. As a foreign private issuer, however, we are permitted to, and we may follow home country practice in lieu of the above requirements. The corporate governance practice in our home country, the Cayman Islands, does not require a majority of our board to consist of independent directors. Currently, a majority of our board members are independent. However, if we change our board composition such that independent directors do not constitute a majority of our board of directors, our shareholders may be afforded less protection than they would otherwise enjoy under Nasdaq’s corporate governance requirements applicable to U.S. domestic issuers. See “Item 3. Key Information-D. Risk Factors-Risks Relating to Our Class A Ordinary Shares and the Trading Market-Because we are a foreign private issuer and are exempt from certain Nasdaq corporate governance standards applicable to U.S. issuers, you will have less protection than you would have if we were a domestic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0" w:name="a_029"/>
      <w:bookmarkEnd w:id="30"/>
      <w:r>
        <w:rPr>
          <w:rFonts w:ascii="Times New Roman;Times;Serif" w:hAnsi="Times New Roman;Times;Serif"/>
          <w:b/>
          <w:i w:val="false"/>
          <w:caps w:val="false"/>
          <w:smallCaps w:val="false"/>
          <w:sz w:val="20"/>
        </w:rPr>
        <w:t>Item 16H. MINE SAFETY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1" w:name="a_030"/>
      <w:bookmarkEnd w:id="31"/>
      <w:r>
        <w:rPr>
          <w:rFonts w:ascii="Times New Roman;Times;Serif" w:hAnsi="Times New Roman;Times;Serif"/>
          <w:b/>
          <w:i w:val="false"/>
          <w:caps w:val="false"/>
          <w:smallCaps w:val="false"/>
          <w:sz w:val="20"/>
        </w:rPr>
        <w:t>Item 16I. DISCLOSURE REGARDING FOREIGN JURISDICTIONS THAT PREVENT INSPECTIONS.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2" w:name="a_031"/>
      <w:bookmarkEnd w:id="32"/>
      <w:r>
        <w:rPr>
          <w:rFonts w:ascii="Times New Roman;Times;Serif" w:hAnsi="Times New Roman;Times;Serif"/>
          <w:b/>
          <w:i w:val="false"/>
          <w:caps w:val="false"/>
          <w:smallCaps w:val="false"/>
          <w:sz w:val="20"/>
        </w:rPr>
        <w:t>Item 16J. INSIDER TRADING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adopted insider trading policies and procedures governing the purchase, sale, and other dispositions of our securities by directors, senior management, and employees that are reasonably designed to promote compliance with applicable insider trading laws, rules, and regulations, and any listing standards applicable to us. A copy of the Company’s Insider Trading Policy is filed as Exhibit 11.2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also adopted a compensation recovery policy required by the Nasdaq Listing Rule 5608, which is attached as Exhibit 97.1 to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3" w:name="a_032"/>
      <w:bookmarkEnd w:id="33"/>
      <w:r>
        <w:rPr>
          <w:rFonts w:ascii="Times New Roman;Times;Serif" w:hAnsi="Times New Roman;Times;Serif"/>
          <w:b/>
          <w:i w:val="false"/>
          <w:caps w:val="false"/>
          <w:smallCaps w:val="false"/>
          <w:sz w:val="20"/>
        </w:rPr>
        <w:t>Item 16K. CYBERSECURITY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Management and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the importance of safeguarding the security of our computer systems, software, networks, and other technology assets. We have implemented cybersecurity measures and protocols for assessing, identifying, and managing material risks from cybersecurity threats, which are integrated into our overall risk management framework. We aim to ensure a comprehensive and proactive approach to safeguarding our assets and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Xinjiang United Family has adopted and implemented cybersecurity risk management regulations which classify cybersecurity threats and issues, specify the responsibility of information technology personnel, and the processes for preventing, identifying, and managing cybersecurity risks and issues. The U.S. Stores have not implemented cybersecurity risk management regulations and mainly rely on technological safeguards installed in their computer systems. We are reliant on third parties to service parts of our IT infrastructure. We do not have processes to oversee and identify risks from cybersecurity threats associated with the use of any third-party service provider.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year ended December 31, 2025, we did not detect any cybersecurity incidents that have materially affected or are reasonably likely to materially affect us, including our business strategy, results of operations,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risks from cybersecurity threats have not to date materially affected, and we do not believe they are reasonably likely to materially affect, us, our business strategy, results of operations or financial condition, we may, from time to time, experience threats to and security incidents related to our data and systems. See “Item 3. Key Information-D. Risk Factors-Risks Relating to Our Business-Any disruption of our information technology system would harm the operating entities’ business and reduce their profitability” and “Item 3. Key Information-D. Risk Factors-Risks Relating to Our Business-Data security breaches and attempts thereof could negatively affect the operating entities’ reputation, credibility, and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cybersecurity risk management regulations implemented by Xinjiang United Family, our information technology personnel have the primary responsibility for day-to-day assessment and management of cybersecurity risks. Our information technology monitor cybersecurity risks. When cybersecurity issues occur, our information technology personnel will collect the relevant information, prepare solutions to mitigate the issues, and report the incidents to our management. Our management supervises our information technology personnel.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4" w:name="a_033"/>
      <w:bookmarkEnd w:id="34"/>
      <w:r>
        <w:rPr>
          <w:rFonts w:ascii="Times New Roman;Times;Serif" w:hAnsi="Times New Roman;Times;Serif"/>
          <w:b/>
          <w:i w:val="false"/>
          <w:caps w:val="false"/>
          <w:smallCaps w:val="false"/>
          <w:sz w:val="20"/>
        </w:rPr>
        <w:t>Part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5" w:name="a_034"/>
      <w:bookmarkEnd w:id="35"/>
      <w:r>
        <w:rPr>
          <w:rFonts w:ascii="Times New Roman;Times;Serif" w:hAnsi="Times New Roman;Times;Serif"/>
          <w:b/>
          <w:i w:val="false"/>
          <w:caps w:val="false"/>
          <w:smallCaps w:val="false"/>
          <w:sz w:val="20"/>
        </w:rPr>
        <w:t>Item 17.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elected to provide financial statements pursuant to Item 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6" w:name="a_035"/>
      <w:bookmarkEnd w:id="36"/>
      <w:r>
        <w:rPr>
          <w:rFonts w:ascii="Times New Roman;Times;Serif" w:hAnsi="Times New Roman;Times;Serif"/>
          <w:b/>
          <w:i w:val="false"/>
          <w:caps w:val="false"/>
          <w:smallCaps w:val="false"/>
          <w:sz w:val="20"/>
        </w:rPr>
        <w:t>Item 18.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Chanson International Holding, and its operating entities are included at the end of this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7" w:name="a_036"/>
      <w:bookmarkEnd w:id="37"/>
      <w:r>
        <w:rPr>
          <w:rFonts w:ascii="Times New Roman;Times;Serif" w:hAnsi="Times New Roman;Times;Serif"/>
          <w:b/>
          <w:i w:val="false"/>
          <w:caps w:val="false"/>
          <w:smallCaps w:val="false"/>
          <w:sz w:val="20"/>
        </w:rPr>
        <w:t>Item 19.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95"/>
        <w:gridCol w:w="90"/>
        <w:gridCol w:w="9320"/>
      </w:tblGrid>
      <w:tr>
        <w:trPr/>
        <w:tc>
          <w:tcPr>
            <w:tcW w:w="79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Exhibit No.</w:t>
            </w:r>
            <w:r>
              <w:rPr>
                <w:rFonts w:ascii="Times New Roman;Times;Serif" w:hAnsi="Times New Roman;Times;Serif"/>
                <w:sz w:val="20"/>
              </w:rPr>
              <w:t xml:space="preserve">  </w:t>
            </w:r>
          </w:p>
        </w:tc>
        <w:tc>
          <w:tcPr>
            <w:tcW w:w="90" w:type="dxa"/>
            <w:tcBorders/>
            <w:tcMar>
              <w:bottom w:w="0" w:type="dxa"/>
            </w:tcMar>
            <w:vAlign w:val="center"/>
          </w:tcPr>
          <w:p>
            <w:pPr>
              <w:pStyle w:val="TableContents"/>
              <w:bidi w:val="0"/>
              <w:spacing w:before="0" w:after="283"/>
              <w:jc w:val="left"/>
              <w:rPr/>
            </w:pPr>
            <w:r>
              <w:rPr/>
              <w:t> </w:t>
            </w:r>
          </w:p>
        </w:tc>
        <w:tc>
          <w:tcPr>
            <w:tcW w:w="932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7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20" w:type="dxa"/>
            <w:tcBorders/>
            <w:shd w:fill="CCEEFF" w:val="clear"/>
            <w:tcMar>
              <w:bottom w:w="0" w:type="dxa"/>
            </w:tcMar>
            <w:vAlign w:val="center"/>
          </w:tcPr>
          <w:p>
            <w:pPr>
              <w:pStyle w:val="TableContents"/>
              <w:bidi w:val="0"/>
              <w:spacing w:before="0" w:after="283"/>
              <w:jc w:val="both"/>
              <w:rPr/>
            </w:pPr>
            <w:hyperlink r:id="rId43">
              <w:r>
                <w:rPr>
                  <w:rStyle w:val="InternetLink"/>
                  <w:rFonts w:ascii="Times New Roman;Times;Serif" w:hAnsi="Times New Roman;Times;Serif"/>
                  <w:sz w:val="20"/>
                </w:rPr>
                <w:t>Amended and Restated Memorandum and Articles of Association (incorporated by reference to Exhibit 3.1 of the report of foreign private issuer on Form 6-K filed with the Securities and Exchange Commission on March 16, 2026)</w:t>
              </w:r>
            </w:hyperlink>
          </w:p>
        </w:tc>
      </w:tr>
      <w:tr>
        <w:trPr/>
        <w:tc>
          <w:tcPr>
            <w:tcW w:w="7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2.1  </w:t>
            </w:r>
          </w:p>
        </w:tc>
        <w:tc>
          <w:tcPr>
            <w:tcW w:w="90" w:type="dxa"/>
            <w:tcBorders/>
            <w:tcMar>
              <w:bottom w:w="0" w:type="dxa"/>
            </w:tcMar>
            <w:vAlign w:val="center"/>
          </w:tcPr>
          <w:p>
            <w:pPr>
              <w:pStyle w:val="TableContents"/>
              <w:bidi w:val="0"/>
              <w:spacing w:before="0" w:after="283"/>
              <w:jc w:val="left"/>
              <w:rPr/>
            </w:pPr>
            <w:r>
              <w:rPr/>
              <w:t> </w:t>
            </w:r>
          </w:p>
        </w:tc>
        <w:tc>
          <w:tcPr>
            <w:tcW w:w="9320" w:type="dxa"/>
            <w:tcBorders/>
            <w:tcMar>
              <w:bottom w:w="0" w:type="dxa"/>
            </w:tcMar>
            <w:vAlign w:val="center"/>
          </w:tcPr>
          <w:p>
            <w:pPr>
              <w:pStyle w:val="TableContents"/>
              <w:bidi w:val="0"/>
              <w:spacing w:before="0" w:after="0"/>
              <w:ind w:left="0" w:right="0" w:hanging="0"/>
              <w:jc w:val="both"/>
              <w:rPr/>
            </w:pPr>
            <w:hyperlink r:id="rId44">
              <w:r>
                <w:rPr>
                  <w:rStyle w:val="InternetLink"/>
                  <w:rFonts w:ascii="Times New Roman;Times;Serif" w:hAnsi="Times New Roman;Times;Serif"/>
                  <w:b w:val="false"/>
                  <w:i w:val="false"/>
                  <w:caps w:val="false"/>
                  <w:smallCaps w:val="false"/>
                  <w:sz w:val="20"/>
                </w:rPr>
                <w:t>Specimen Certificate for Class A Ordinary Shares (incorporated herein by reference to Exhibit 4.2 to our registration statement on Form S-8 (File No. 333-288739), as amended, filed with the SEC on July 18, 2025)</w:t>
              </w:r>
            </w:hyperlink>
          </w:p>
        </w:tc>
      </w:tr>
      <w:tr>
        <w:trPr/>
        <w:tc>
          <w:tcPr>
            <w:tcW w:w="7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20" w:type="dxa"/>
            <w:tcBorders/>
            <w:shd w:fill="CCEEFF" w:val="clear"/>
            <w:tcMar>
              <w:bottom w:w="0" w:type="dxa"/>
            </w:tcMar>
            <w:vAlign w:val="center"/>
          </w:tcPr>
          <w:p>
            <w:pPr>
              <w:pStyle w:val="TableContents"/>
              <w:bidi w:val="0"/>
              <w:spacing w:before="0" w:after="283"/>
              <w:jc w:val="both"/>
              <w:rPr/>
            </w:pPr>
            <w:hyperlink w:anchor="ea028662601ex2-2.htm">
              <w:r>
                <w:rPr>
                  <w:rStyle w:val="InternetLink"/>
                  <w:rFonts w:ascii="Times New Roman;Times;Serif" w:hAnsi="Times New Roman;Times;Serif"/>
                  <w:sz w:val="20"/>
                </w:rPr>
                <w:t>Description of Securities</w:t>
              </w:r>
            </w:hyperlink>
          </w:p>
        </w:tc>
      </w:tr>
      <w:tr>
        <w:trPr/>
        <w:tc>
          <w:tcPr>
            <w:tcW w:w="7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4.1  </w:t>
            </w:r>
          </w:p>
        </w:tc>
        <w:tc>
          <w:tcPr>
            <w:tcW w:w="90" w:type="dxa"/>
            <w:tcBorders/>
            <w:tcMar>
              <w:bottom w:w="0" w:type="dxa"/>
            </w:tcMar>
            <w:vAlign w:val="center"/>
          </w:tcPr>
          <w:p>
            <w:pPr>
              <w:pStyle w:val="TableContents"/>
              <w:bidi w:val="0"/>
              <w:spacing w:before="0" w:after="283"/>
              <w:jc w:val="left"/>
              <w:rPr/>
            </w:pPr>
            <w:r>
              <w:rPr/>
              <w:t> </w:t>
            </w:r>
          </w:p>
        </w:tc>
        <w:tc>
          <w:tcPr>
            <w:tcW w:w="9320" w:type="dxa"/>
            <w:tcBorders/>
            <w:tcMar>
              <w:bottom w:w="0" w:type="dxa"/>
            </w:tcMar>
            <w:vAlign w:val="center"/>
          </w:tcPr>
          <w:p>
            <w:pPr>
              <w:pStyle w:val="TableContents"/>
              <w:bidi w:val="0"/>
              <w:spacing w:before="0" w:after="283"/>
              <w:jc w:val="both"/>
              <w:rPr/>
            </w:pPr>
            <w:hyperlink r:id="rId45">
              <w:r>
                <w:rPr>
                  <w:rStyle w:val="InternetLink"/>
                  <w:rFonts w:ascii="Times New Roman;Times;Serif" w:hAnsi="Times New Roman;Times;Serif"/>
                  <w:sz w:val="20"/>
                </w:rPr>
                <w:t>Form of Employment Agreement by and between executive officers and the Registrant (incorporated by reference to Exhibit 10.1 of our Registration Statement on Form F-1 (File No. 333-254909) initially filed with the Securities and Exchange Commission on March 31, 2021)</w:t>
              </w:r>
            </w:hyperlink>
          </w:p>
        </w:tc>
      </w:tr>
      <w:tr>
        <w:trPr/>
        <w:tc>
          <w:tcPr>
            <w:tcW w:w="7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20" w:type="dxa"/>
            <w:tcBorders/>
            <w:shd w:fill="CCEEFF" w:val="clear"/>
            <w:tcMar>
              <w:bottom w:w="0" w:type="dxa"/>
            </w:tcMar>
            <w:vAlign w:val="center"/>
          </w:tcPr>
          <w:p>
            <w:pPr>
              <w:pStyle w:val="TableContents"/>
              <w:bidi w:val="0"/>
              <w:spacing w:before="0" w:after="283"/>
              <w:jc w:val="both"/>
              <w:rPr/>
            </w:pPr>
            <w:hyperlink r:id="rId46">
              <w:r>
                <w:rPr>
                  <w:rStyle w:val="InternetLink"/>
                  <w:rFonts w:ascii="Times New Roman;Times;Serif" w:hAnsi="Times New Roman;Times;Serif"/>
                  <w:sz w:val="20"/>
                </w:rPr>
                <w:t>English Translation of the Form of Exclusive Service Agreement between each UFG Operator and Xinjiang United Family, as currently in effect, and a schedule of all executed Exclusive Service Agreements adopting the same form (incorporated by reference to Exhibit 10.3 of our Registration Statement on Form F-1/A No. 9 (File No. 333-254909) filed with the Securities and Exchange Commission on March 20, 2023)</w:t>
              </w:r>
            </w:hyperlink>
          </w:p>
        </w:tc>
      </w:tr>
      <w:tr>
        <w:trPr/>
        <w:tc>
          <w:tcPr>
            <w:tcW w:w="7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4.3  </w:t>
            </w:r>
          </w:p>
        </w:tc>
        <w:tc>
          <w:tcPr>
            <w:tcW w:w="90" w:type="dxa"/>
            <w:tcBorders/>
            <w:tcMar>
              <w:bottom w:w="0" w:type="dxa"/>
            </w:tcMar>
            <w:vAlign w:val="center"/>
          </w:tcPr>
          <w:p>
            <w:pPr>
              <w:pStyle w:val="TableContents"/>
              <w:bidi w:val="0"/>
              <w:spacing w:before="0" w:after="283"/>
              <w:jc w:val="left"/>
              <w:rPr/>
            </w:pPr>
            <w:r>
              <w:rPr/>
              <w:t> </w:t>
            </w:r>
          </w:p>
        </w:tc>
        <w:tc>
          <w:tcPr>
            <w:tcW w:w="9320" w:type="dxa"/>
            <w:tcBorders/>
            <w:tcMar>
              <w:bottom w:w="0" w:type="dxa"/>
            </w:tcMar>
            <w:vAlign w:val="center"/>
          </w:tcPr>
          <w:p>
            <w:pPr>
              <w:pStyle w:val="TableContents"/>
              <w:bidi w:val="0"/>
              <w:spacing w:before="0" w:after="283"/>
              <w:jc w:val="both"/>
              <w:rPr/>
            </w:pPr>
            <w:hyperlink r:id="rId47">
              <w:r>
                <w:rPr>
                  <w:rStyle w:val="InternetLink"/>
                  <w:rFonts w:ascii="Times New Roman;Times;Serif" w:hAnsi="Times New Roman;Times;Serif"/>
                  <w:sz w:val="20"/>
                </w:rPr>
                <w:t>English Translation of the Form of Operating Rights Proxy Agreement between each UFG Operator and Xinjiang United Family, as currently in effect, and a schedule of all executed Operating Rights Proxy Agreements adopting the same form (incorporated by reference to Exhibit 10.4 of our Registration Statement on Form F-1/A No. 9 (File No. 333-254909) filed with the Securities and Exchange Commission on March 20, 2023)</w:t>
              </w:r>
            </w:hyperlink>
          </w:p>
        </w:tc>
      </w:tr>
      <w:tr>
        <w:trPr/>
        <w:tc>
          <w:tcPr>
            <w:tcW w:w="7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20" w:type="dxa"/>
            <w:tcBorders/>
            <w:shd w:fill="CCEEFF" w:val="clear"/>
            <w:tcMar>
              <w:bottom w:w="0" w:type="dxa"/>
            </w:tcMar>
            <w:vAlign w:val="center"/>
          </w:tcPr>
          <w:p>
            <w:pPr>
              <w:pStyle w:val="TableContents"/>
              <w:bidi w:val="0"/>
              <w:spacing w:before="0" w:after="283"/>
              <w:jc w:val="both"/>
              <w:rPr/>
            </w:pPr>
            <w:hyperlink r:id="rId48">
              <w:r>
                <w:rPr>
                  <w:rStyle w:val="InternetLink"/>
                  <w:rFonts w:ascii="Times New Roman;Times;Serif" w:hAnsi="Times New Roman;Times;Serif"/>
                  <w:sz w:val="20"/>
                </w:rPr>
                <w:t>English Translation of the Form of Pledge Agreement between each UFG Operator and Xinjiang United Family, as currently in effect, and a schedule of all executed Pledge Agreements adopting the same form (incorporated by reference to Exhibit 10.5 of our Registration Statement on Form F-1/A No. 9 (File No. 333-254909) filed with the Securities and Exchange Commission on March 20, 2023)</w:t>
              </w:r>
            </w:hyperlink>
          </w:p>
        </w:tc>
      </w:tr>
      <w:tr>
        <w:trPr/>
        <w:tc>
          <w:tcPr>
            <w:tcW w:w="7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4.5  </w:t>
            </w:r>
          </w:p>
        </w:tc>
        <w:tc>
          <w:tcPr>
            <w:tcW w:w="90" w:type="dxa"/>
            <w:tcBorders/>
            <w:tcMar>
              <w:bottom w:w="0" w:type="dxa"/>
            </w:tcMar>
            <w:vAlign w:val="center"/>
          </w:tcPr>
          <w:p>
            <w:pPr>
              <w:pStyle w:val="TableContents"/>
              <w:bidi w:val="0"/>
              <w:spacing w:before="0" w:after="283"/>
              <w:jc w:val="left"/>
              <w:rPr/>
            </w:pPr>
            <w:r>
              <w:rPr/>
              <w:t> </w:t>
            </w:r>
          </w:p>
        </w:tc>
        <w:tc>
          <w:tcPr>
            <w:tcW w:w="9320" w:type="dxa"/>
            <w:tcBorders/>
            <w:tcMar>
              <w:bottom w:w="0" w:type="dxa"/>
            </w:tcMar>
            <w:vAlign w:val="center"/>
          </w:tcPr>
          <w:p>
            <w:pPr>
              <w:pStyle w:val="TableContents"/>
              <w:bidi w:val="0"/>
              <w:spacing w:before="0" w:after="283"/>
              <w:jc w:val="both"/>
              <w:rPr/>
            </w:pPr>
            <w:hyperlink r:id="rId49">
              <w:r>
                <w:rPr>
                  <w:rStyle w:val="InternetLink"/>
                  <w:rFonts w:ascii="Times New Roman;Times;Serif" w:hAnsi="Times New Roman;Times;Serif"/>
                  <w:sz w:val="20"/>
                </w:rPr>
                <w:t>English Translation of the Form of Call Option Agreement between each UFG Operator and Xinjiang United Family, as currently in effect, and a schedule of all executed Call Option Agreements adopting the same form (incorporated by reference to Exhibit 10.6 of our Registration Statement on Form F-1/A No. 9 (File No. 333-254909) filed with the Securities and Exchange Commission on March 20, 2023)</w:t>
              </w:r>
            </w:hyperlink>
          </w:p>
        </w:tc>
      </w:tr>
      <w:tr>
        <w:trPr/>
        <w:tc>
          <w:tcPr>
            <w:tcW w:w="79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4.6  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20" w:type="dxa"/>
            <w:tcBorders/>
            <w:shd w:fill="CCEEFF" w:val="clear"/>
            <w:tcMar>
              <w:bottom w:w="0" w:type="dxa"/>
            </w:tcMar>
            <w:vAlign w:val="center"/>
          </w:tcPr>
          <w:p>
            <w:pPr>
              <w:pStyle w:val="TableContents"/>
              <w:bidi w:val="0"/>
              <w:spacing w:before="0" w:after="283"/>
              <w:jc w:val="both"/>
              <w:rPr/>
            </w:pPr>
            <w:hyperlink r:id="rId50">
              <w:r>
                <w:rPr>
                  <w:rStyle w:val="InternetLink"/>
                  <w:rFonts w:ascii="Times New Roman;Times;Serif" w:hAnsi="Times New Roman;Times;Serif"/>
                  <w:sz w:val="20"/>
                </w:rPr>
                <w:t>English Translation of the Form of Spousal Consent granted by the spouse of each UFG Operator, as currently in effect, and a schedule of all executed Spousal Consents adopting the same form (incorporated by reference to Exhibit 10.7 of our Registration Statement on Form F-1/A No. 9 (File No. 333-254909) filed with the Securities and Exchange Commission on March 20, 2023)</w:t>
              </w:r>
            </w:hyperlink>
          </w:p>
        </w:tc>
      </w:tr>
      <w:tr>
        <w:trPr/>
        <w:tc>
          <w:tcPr>
            <w:tcW w:w="7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4.7 </w:t>
            </w:r>
          </w:p>
        </w:tc>
        <w:tc>
          <w:tcPr>
            <w:tcW w:w="90" w:type="dxa"/>
            <w:tcBorders/>
            <w:tcMar>
              <w:bottom w:w="0" w:type="dxa"/>
            </w:tcMar>
            <w:vAlign w:val="center"/>
          </w:tcPr>
          <w:p>
            <w:pPr>
              <w:pStyle w:val="TableContents"/>
              <w:bidi w:val="0"/>
              <w:spacing w:before="0" w:after="283"/>
              <w:jc w:val="left"/>
              <w:rPr/>
            </w:pPr>
            <w:r>
              <w:rPr/>
              <w:t> </w:t>
            </w:r>
          </w:p>
        </w:tc>
        <w:tc>
          <w:tcPr>
            <w:tcW w:w="9320" w:type="dxa"/>
            <w:tcBorders/>
            <w:tcMar>
              <w:bottom w:w="0" w:type="dxa"/>
            </w:tcMar>
            <w:vAlign w:val="center"/>
          </w:tcPr>
          <w:p>
            <w:pPr>
              <w:pStyle w:val="TableContents"/>
              <w:bidi w:val="0"/>
              <w:spacing w:before="0" w:after="283"/>
              <w:jc w:val="both"/>
              <w:rPr/>
            </w:pPr>
            <w:hyperlink r:id="rId51">
              <w:r>
                <w:rPr>
                  <w:rStyle w:val="InternetLink"/>
                  <w:rFonts w:ascii="Times New Roman;Times;Serif" w:hAnsi="Times New Roman;Times;Serif"/>
                  <w:sz w:val="20"/>
                </w:rPr>
                <w:t>English Translation of Premises Use Agreement dated April 30, 2020, and Supplemental Agreement dated June 18, 2020, between Xinjiang United Family and Urumqi Plastic Surgery Hospital Co., Ltd. (incorporated by reference to Exhibit 10.8 of our Registration Statement on Form F-1 (File No. 333-254909) initially filed with the Securities and Exchange Commission on March 31, 2021)</w:t>
              </w:r>
            </w:hyperlink>
          </w:p>
        </w:tc>
      </w:tr>
      <w:tr>
        <w:trPr/>
        <w:tc>
          <w:tcPr>
            <w:tcW w:w="7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4.8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20" w:type="dxa"/>
            <w:tcBorders/>
            <w:shd w:fill="CCEEFF" w:val="clear"/>
            <w:tcMar>
              <w:bottom w:w="0" w:type="dxa"/>
            </w:tcMar>
            <w:vAlign w:val="center"/>
          </w:tcPr>
          <w:p>
            <w:pPr>
              <w:pStyle w:val="TableContents"/>
              <w:bidi w:val="0"/>
              <w:spacing w:before="0" w:after="283"/>
              <w:jc w:val="both"/>
              <w:rPr/>
            </w:pPr>
            <w:hyperlink r:id="rId52">
              <w:r>
                <w:rPr>
                  <w:rStyle w:val="InternetLink"/>
                  <w:rFonts w:ascii="Times New Roman;Times;Serif" w:hAnsi="Times New Roman;Times;Serif"/>
                  <w:sz w:val="20"/>
                </w:rPr>
                <w:t>English Translation of Lease Agreement dated June 30, 2021, between Xinjiang United Family and Xinjiang Chuangbo Park Development Co., Ltd. (incorporated by reference to Exhibit 10.16 of our Registration Statement on Form F-1/A No. 2 (File No. 333-254909) filed with the Securities and Exchange Commission on August 27, 2021)</w:t>
              </w:r>
            </w:hyperlink>
          </w:p>
        </w:tc>
      </w:tr>
      <w:tr>
        <w:trPr/>
        <w:tc>
          <w:tcPr>
            <w:tcW w:w="7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4.9 </w:t>
            </w:r>
          </w:p>
        </w:tc>
        <w:tc>
          <w:tcPr>
            <w:tcW w:w="90" w:type="dxa"/>
            <w:tcBorders/>
            <w:tcMar>
              <w:bottom w:w="0" w:type="dxa"/>
            </w:tcMar>
            <w:vAlign w:val="center"/>
          </w:tcPr>
          <w:p>
            <w:pPr>
              <w:pStyle w:val="TableContents"/>
              <w:bidi w:val="0"/>
              <w:spacing w:before="0" w:after="283"/>
              <w:jc w:val="left"/>
              <w:rPr/>
            </w:pPr>
            <w:r>
              <w:rPr/>
              <w:t> </w:t>
            </w:r>
          </w:p>
        </w:tc>
        <w:tc>
          <w:tcPr>
            <w:tcW w:w="9320" w:type="dxa"/>
            <w:tcBorders/>
            <w:tcMar>
              <w:bottom w:w="0" w:type="dxa"/>
            </w:tcMar>
            <w:vAlign w:val="center"/>
          </w:tcPr>
          <w:p>
            <w:pPr>
              <w:pStyle w:val="TableContents"/>
              <w:bidi w:val="0"/>
              <w:spacing w:before="0" w:after="283"/>
              <w:jc w:val="both"/>
              <w:rPr/>
            </w:pPr>
            <w:hyperlink r:id="rId53">
              <w:r>
                <w:rPr>
                  <w:rStyle w:val="InternetLink"/>
                  <w:rFonts w:ascii="Times New Roman;Times;Serif" w:hAnsi="Times New Roman;Times;Serif"/>
                  <w:sz w:val="20"/>
                </w:rPr>
                <w:t>Office Licensing Agreement dated March 25, 2024 between Chanson International and CL Asset Management LLC (incorporated by reference to Exhibit 4.9 of our annual report on Form 20-F for the fiscal year ended December 31, 2023 filed with the Securities and Exchange Commission on May 1, 2024)</w:t>
              </w:r>
            </w:hyperlink>
          </w:p>
        </w:tc>
      </w:tr>
      <w:tr>
        <w:trPr/>
        <w:tc>
          <w:tcPr>
            <w:tcW w:w="7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4.10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20" w:type="dxa"/>
            <w:tcBorders/>
            <w:shd w:fill="CCEEFF" w:val="clear"/>
            <w:tcMar>
              <w:bottom w:w="0" w:type="dxa"/>
            </w:tcMar>
            <w:vAlign w:val="center"/>
          </w:tcPr>
          <w:p>
            <w:pPr>
              <w:pStyle w:val="TableContents"/>
              <w:bidi w:val="0"/>
              <w:spacing w:before="0" w:after="283"/>
              <w:jc w:val="both"/>
              <w:rPr/>
            </w:pPr>
            <w:hyperlink r:id="rId54">
              <w:r>
                <w:rPr>
                  <w:rStyle w:val="InternetLink"/>
                  <w:rFonts w:ascii="Times New Roman;Times;Serif" w:hAnsi="Times New Roman;Times;Serif"/>
                  <w:sz w:val="20"/>
                </w:rPr>
                <w:t>English Translation of Working Capital Loan Agreement dated December 22, 2023, between Xinjiang United Family and Huaxia Bank Co., Ltd. (incorporated by reference to Exhibit 4.10 of our annual report on Form 20-F for the fiscal year ended December 31, 2023 filed with the Securities and Exchange Commission on May 1, 2024)</w:t>
              </w:r>
            </w:hyperlink>
          </w:p>
        </w:tc>
      </w:tr>
      <w:tr>
        <w:trPr/>
        <w:tc>
          <w:tcPr>
            <w:tcW w:w="7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4.11</w:t>
            </w:r>
          </w:p>
        </w:tc>
        <w:tc>
          <w:tcPr>
            <w:tcW w:w="90" w:type="dxa"/>
            <w:tcBorders/>
            <w:tcMar>
              <w:bottom w:w="0" w:type="dxa"/>
            </w:tcMar>
            <w:vAlign w:val="center"/>
          </w:tcPr>
          <w:p>
            <w:pPr>
              <w:pStyle w:val="TableContents"/>
              <w:bidi w:val="0"/>
              <w:spacing w:before="0" w:after="283"/>
              <w:jc w:val="left"/>
              <w:rPr/>
            </w:pPr>
            <w:r>
              <w:rPr/>
              <w:t> </w:t>
            </w:r>
          </w:p>
        </w:tc>
        <w:tc>
          <w:tcPr>
            <w:tcW w:w="9320" w:type="dxa"/>
            <w:tcBorders/>
            <w:tcMar>
              <w:bottom w:w="0" w:type="dxa"/>
            </w:tcMar>
            <w:vAlign w:val="center"/>
          </w:tcPr>
          <w:p>
            <w:pPr>
              <w:pStyle w:val="TableContents"/>
              <w:bidi w:val="0"/>
              <w:spacing w:before="0" w:after="283"/>
              <w:jc w:val="both"/>
              <w:rPr/>
            </w:pPr>
            <w:hyperlink r:id="rId55">
              <w:r>
                <w:rPr>
                  <w:rStyle w:val="InternetLink"/>
                  <w:rFonts w:ascii="Times New Roman;Times;Serif" w:hAnsi="Times New Roman;Times;Serif"/>
                  <w:sz w:val="20"/>
                </w:rPr>
                <w:t>English Translation of Working Capital Loan Agreement dated September 7, 2023, between Xinjiang United Family and Bank of China (incorporated by reference to Exhibit 4.11 of our annual report on Form 20-F for the fiscal year ended December 31, 2023 filed with the Securities and Exchange Commission on May 1, 2024)</w:t>
              </w:r>
            </w:hyperlink>
          </w:p>
        </w:tc>
      </w:tr>
      <w:tr>
        <w:trPr/>
        <w:tc>
          <w:tcPr>
            <w:tcW w:w="7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4.12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20" w:type="dxa"/>
            <w:tcBorders/>
            <w:shd w:fill="CCEEFF" w:val="clear"/>
            <w:tcMar>
              <w:bottom w:w="0" w:type="dxa"/>
            </w:tcMar>
            <w:vAlign w:val="center"/>
          </w:tcPr>
          <w:p>
            <w:pPr>
              <w:pStyle w:val="TableContents"/>
              <w:bidi w:val="0"/>
              <w:spacing w:before="0" w:after="283"/>
              <w:jc w:val="both"/>
              <w:rPr/>
            </w:pPr>
            <w:hyperlink r:id="rId56">
              <w:r>
                <w:rPr>
                  <w:rStyle w:val="InternetLink"/>
                  <w:rFonts w:ascii="Times New Roman;Times;Serif" w:hAnsi="Times New Roman;Times;Serif"/>
                  <w:sz w:val="20"/>
                </w:rPr>
                <w:t>English Translation of Working Capital Loan Agreement dated December 26, 2023, between Xinjiang United Family and Xinjiang Urumqi Rural Commercial Bank (incorporated by reference to Exhibit 4.12 of our annual report on Form 20-F for the fiscal year ended December 31, 2023 filed with the Securities and Exchange Commission on May 1, 2024)</w:t>
              </w:r>
            </w:hyperlink>
          </w:p>
        </w:tc>
      </w:tr>
      <w:tr>
        <w:trPr/>
        <w:tc>
          <w:tcPr>
            <w:tcW w:w="7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4.13 </w:t>
            </w:r>
          </w:p>
        </w:tc>
        <w:tc>
          <w:tcPr>
            <w:tcW w:w="90" w:type="dxa"/>
            <w:tcBorders/>
            <w:tcMar>
              <w:bottom w:w="0" w:type="dxa"/>
            </w:tcMar>
            <w:vAlign w:val="center"/>
          </w:tcPr>
          <w:p>
            <w:pPr>
              <w:pStyle w:val="TableContents"/>
              <w:bidi w:val="0"/>
              <w:spacing w:before="0" w:after="283"/>
              <w:jc w:val="left"/>
              <w:rPr/>
            </w:pPr>
            <w:r>
              <w:rPr/>
              <w:t> </w:t>
            </w:r>
          </w:p>
        </w:tc>
        <w:tc>
          <w:tcPr>
            <w:tcW w:w="9320" w:type="dxa"/>
            <w:tcBorders/>
            <w:tcMar>
              <w:bottom w:w="0" w:type="dxa"/>
            </w:tcMar>
            <w:vAlign w:val="center"/>
          </w:tcPr>
          <w:p>
            <w:pPr>
              <w:pStyle w:val="TableContents"/>
              <w:bidi w:val="0"/>
              <w:spacing w:before="0" w:after="283"/>
              <w:jc w:val="both"/>
              <w:rPr/>
            </w:pPr>
            <w:hyperlink r:id="rId57">
              <w:r>
                <w:rPr>
                  <w:rStyle w:val="InternetLink"/>
                  <w:rFonts w:ascii="Times New Roman;Times;Serif" w:hAnsi="Times New Roman;Times;Serif"/>
                  <w:sz w:val="20"/>
                </w:rPr>
                <w:t>English Translation of Working Capital Loan Agreement dated November 15, 2023, between Xinjiang United Family and Tianshan Rural Commercial Bank (incorporated by reference to Exhibit 4.13 of our annual report on Form 20-F for the fiscal year ended December 31, 2023 filed with the Securities and Exchange Commission on May 1, 2024)</w:t>
              </w:r>
            </w:hyperlink>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149</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0"/>
        <w:gridCol w:w="90"/>
        <w:gridCol w:w="9485"/>
      </w:tblGrid>
      <w:tr>
        <w:trPr/>
        <w:tc>
          <w:tcPr>
            <w:tcW w:w="6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4.14 </w:t>
            </w:r>
          </w:p>
        </w:tc>
        <w:tc>
          <w:tcPr>
            <w:tcW w:w="90" w:type="dxa"/>
            <w:tcBorders/>
            <w:shd w:fill="CCEEFF" w:val="clear"/>
            <w:vAlign w:val="center"/>
          </w:tcPr>
          <w:p>
            <w:pPr>
              <w:pStyle w:val="TableContents"/>
              <w:bidi w:val="0"/>
              <w:spacing w:before="0" w:after="283"/>
              <w:jc w:val="left"/>
              <w:rPr/>
            </w:pPr>
            <w:r>
              <w:rPr/>
              <w:t> </w:t>
            </w:r>
          </w:p>
        </w:tc>
        <w:tc>
          <w:tcPr>
            <w:tcW w:w="9485" w:type="dxa"/>
            <w:tcBorders/>
            <w:shd w:fill="CCEEFF" w:val="clear"/>
            <w:vAlign w:val="center"/>
          </w:tcPr>
          <w:p>
            <w:pPr>
              <w:pStyle w:val="TableContents"/>
              <w:bidi w:val="0"/>
              <w:spacing w:before="0" w:after="283"/>
              <w:jc w:val="both"/>
              <w:rPr/>
            </w:pPr>
            <w:hyperlink r:id="rId58">
              <w:r>
                <w:rPr>
                  <w:rStyle w:val="InternetLink"/>
                  <w:rFonts w:ascii="Times New Roman;Times;Serif" w:hAnsi="Times New Roman;Times;Serif"/>
                  <w:sz w:val="20"/>
                </w:rPr>
                <w:t>English Translation of Working Capital Loan Agreement dated December 19, 2023, between Xinjiang United Family and Tianshan Rural Commercial Bank (incorporated by reference to Exhibit 4.14 of our annual report on Form 20-F for the fiscal year ended December 31, 2023 filed with the Securities and Exchange Commission on May 1, 2024)</w:t>
              </w:r>
            </w:hyperlink>
          </w:p>
        </w:tc>
      </w:tr>
      <w:tr>
        <w:trPr/>
        <w:tc>
          <w:tcPr>
            <w:tcW w:w="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4.15</w:t>
            </w:r>
          </w:p>
        </w:tc>
        <w:tc>
          <w:tcPr>
            <w:tcW w:w="90" w:type="dxa"/>
            <w:tcBorders/>
            <w:vAlign w:val="center"/>
          </w:tcPr>
          <w:p>
            <w:pPr>
              <w:pStyle w:val="TableContents"/>
              <w:bidi w:val="0"/>
              <w:spacing w:before="0" w:after="283"/>
              <w:jc w:val="left"/>
              <w:rPr/>
            </w:pPr>
            <w:r>
              <w:rPr/>
              <w:t> </w:t>
            </w:r>
          </w:p>
        </w:tc>
        <w:tc>
          <w:tcPr>
            <w:tcW w:w="9485" w:type="dxa"/>
            <w:tcBorders/>
            <w:vAlign w:val="center"/>
          </w:tcPr>
          <w:p>
            <w:pPr>
              <w:pStyle w:val="TableContents"/>
              <w:bidi w:val="0"/>
              <w:spacing w:before="0" w:after="283"/>
              <w:jc w:val="both"/>
              <w:rPr/>
            </w:pPr>
            <w:hyperlink r:id="rId59">
              <w:r>
                <w:rPr>
                  <w:rStyle w:val="InternetLink"/>
                  <w:rFonts w:ascii="Times New Roman;Times;Serif" w:hAnsi="Times New Roman;Times;Serif"/>
                  <w:sz w:val="20"/>
                </w:rPr>
                <w:t>Placement Agency Agreement dated September 12, 2024, between the Registrant and Joseph Stone Capital, LLC (incorporated by reference to Exhibit 10.1 of the report of foreign private issuer on Form 6-K filed with the Securities and Exchange Commission on September 17, 2024)</w:t>
              </w:r>
            </w:hyperlink>
          </w:p>
        </w:tc>
      </w:tr>
      <w:tr>
        <w:trPr/>
        <w:tc>
          <w:tcPr>
            <w:tcW w:w="6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4.16</w:t>
            </w:r>
          </w:p>
        </w:tc>
        <w:tc>
          <w:tcPr>
            <w:tcW w:w="90" w:type="dxa"/>
            <w:tcBorders/>
            <w:shd w:fill="CCEEFF" w:val="clear"/>
            <w:vAlign w:val="center"/>
          </w:tcPr>
          <w:p>
            <w:pPr>
              <w:pStyle w:val="TableContents"/>
              <w:bidi w:val="0"/>
              <w:spacing w:before="0" w:after="283"/>
              <w:jc w:val="left"/>
              <w:rPr/>
            </w:pPr>
            <w:r>
              <w:rPr/>
              <w:t> </w:t>
            </w:r>
          </w:p>
        </w:tc>
        <w:tc>
          <w:tcPr>
            <w:tcW w:w="9485" w:type="dxa"/>
            <w:tcBorders/>
            <w:shd w:fill="CCEEFF" w:val="clear"/>
            <w:vAlign w:val="center"/>
          </w:tcPr>
          <w:p>
            <w:pPr>
              <w:pStyle w:val="TableContents"/>
              <w:bidi w:val="0"/>
              <w:spacing w:before="0" w:after="283"/>
              <w:jc w:val="both"/>
              <w:rPr/>
            </w:pPr>
            <w:hyperlink r:id="rId60">
              <w:r>
                <w:rPr>
                  <w:rStyle w:val="InternetLink"/>
                  <w:rFonts w:ascii="Times New Roman;Times;Serif" w:hAnsi="Times New Roman;Times;Serif"/>
                  <w:sz w:val="20"/>
                </w:rPr>
                <w:t>Form of Securities Purchase Agreement dated September 13, 2024, between the Registrant and the purchasers identified therein (incorporated by reference to Exhibit 10.2 of the report of foreign private issuer on Form 6-K filed with the Securities and Exchange Commission on September 17, 2024)</w:t>
              </w:r>
            </w:hyperlink>
          </w:p>
        </w:tc>
      </w:tr>
      <w:tr>
        <w:trPr/>
        <w:tc>
          <w:tcPr>
            <w:tcW w:w="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4.17</w:t>
            </w:r>
          </w:p>
        </w:tc>
        <w:tc>
          <w:tcPr>
            <w:tcW w:w="90" w:type="dxa"/>
            <w:tcBorders/>
            <w:vAlign w:val="center"/>
          </w:tcPr>
          <w:p>
            <w:pPr>
              <w:pStyle w:val="TableContents"/>
              <w:bidi w:val="0"/>
              <w:spacing w:before="0" w:after="283"/>
              <w:jc w:val="left"/>
              <w:rPr/>
            </w:pPr>
            <w:r>
              <w:rPr/>
              <w:t> </w:t>
            </w:r>
          </w:p>
        </w:tc>
        <w:tc>
          <w:tcPr>
            <w:tcW w:w="9485" w:type="dxa"/>
            <w:tcBorders/>
            <w:vAlign w:val="center"/>
          </w:tcPr>
          <w:p>
            <w:pPr>
              <w:pStyle w:val="TableContents"/>
              <w:bidi w:val="0"/>
              <w:spacing w:before="0" w:after="283"/>
              <w:jc w:val="both"/>
              <w:rPr/>
            </w:pPr>
            <w:hyperlink r:id="rId61">
              <w:r>
                <w:rPr>
                  <w:rStyle w:val="InternetLink"/>
                  <w:rFonts w:ascii="Times New Roman;Times;Serif" w:hAnsi="Times New Roman;Times;Serif"/>
                  <w:sz w:val="20"/>
                </w:rPr>
                <w:t>Amendment to Escrow Agreement dated September 13, 2024, among the Registrant, Joseph Stone Capital, LLC and Continental Stock Transfer &amp; Trust Company (incorporated by reference to Exhibit 10.3 of the report of foreign private issuer on Form 6-K filed with the Securities and Exchange Commission on September 17, 2024)</w:t>
              </w:r>
            </w:hyperlink>
          </w:p>
        </w:tc>
      </w:tr>
      <w:tr>
        <w:trPr/>
        <w:tc>
          <w:tcPr>
            <w:tcW w:w="6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4.18</w:t>
            </w:r>
          </w:p>
        </w:tc>
        <w:tc>
          <w:tcPr>
            <w:tcW w:w="90" w:type="dxa"/>
            <w:tcBorders/>
            <w:shd w:fill="CCEEFF" w:val="clear"/>
            <w:vAlign w:val="center"/>
          </w:tcPr>
          <w:p>
            <w:pPr>
              <w:pStyle w:val="TableContents"/>
              <w:bidi w:val="0"/>
              <w:spacing w:before="0" w:after="283"/>
              <w:jc w:val="left"/>
              <w:rPr/>
            </w:pPr>
            <w:r>
              <w:rPr/>
              <w:t> </w:t>
            </w:r>
          </w:p>
        </w:tc>
        <w:tc>
          <w:tcPr>
            <w:tcW w:w="9485" w:type="dxa"/>
            <w:tcBorders/>
            <w:shd w:fill="CCEEFF" w:val="clear"/>
            <w:vAlign w:val="center"/>
          </w:tcPr>
          <w:p>
            <w:pPr>
              <w:pStyle w:val="TableContents"/>
              <w:bidi w:val="0"/>
              <w:spacing w:before="0" w:after="283"/>
              <w:jc w:val="both"/>
              <w:rPr/>
            </w:pPr>
            <w:hyperlink r:id="rId62">
              <w:r>
                <w:rPr>
                  <w:rStyle w:val="InternetLink"/>
                  <w:rFonts w:ascii="Times New Roman;Times;Serif" w:hAnsi="Times New Roman;Times;Serif"/>
                </w:rPr>
                <w:t>Form of Securities Purchase Agreement dated June 13, 2025, between the Registrant and investors (incorporated by reference to Exhibit 10.1 of the report of foreign private issuer on Form 6-K filed with the Securities and Exchange Commission on June 18, 2025)</w:t>
              </w:r>
            </w:hyperlink>
          </w:p>
        </w:tc>
      </w:tr>
      <w:tr>
        <w:trPr/>
        <w:tc>
          <w:tcPr>
            <w:tcW w:w="6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4.19</w:t>
            </w:r>
          </w:p>
        </w:tc>
        <w:tc>
          <w:tcPr>
            <w:tcW w:w="90" w:type="dxa"/>
            <w:tcBorders/>
            <w:vAlign w:val="center"/>
          </w:tcPr>
          <w:p>
            <w:pPr>
              <w:pStyle w:val="TableContents"/>
              <w:bidi w:val="0"/>
              <w:spacing w:before="0" w:after="283"/>
              <w:jc w:val="left"/>
              <w:rPr/>
            </w:pPr>
            <w:r>
              <w:rPr/>
              <w:t> </w:t>
            </w:r>
          </w:p>
        </w:tc>
        <w:tc>
          <w:tcPr>
            <w:tcW w:w="9485" w:type="dxa"/>
            <w:tcBorders/>
            <w:vAlign w:val="center"/>
          </w:tcPr>
          <w:p>
            <w:pPr>
              <w:pStyle w:val="TableContents"/>
              <w:bidi w:val="0"/>
              <w:spacing w:before="0" w:after="283"/>
              <w:jc w:val="both"/>
              <w:rPr/>
            </w:pPr>
            <w:hyperlink r:id="rId63">
              <w:r>
                <w:rPr>
                  <w:rStyle w:val="InternetLink"/>
                  <w:rFonts w:ascii="Times New Roman;Times;Serif" w:hAnsi="Times New Roman;Times;Serif"/>
                </w:rPr>
                <w:t>Placement Agency Agreement dated June 13, 2025, between the Registrant and Univest Securities, LLC (incorporated by reference to Exhibit 10.2 of the report of foreign private issuer on Form 6-K filed with the Securities and Exchange Commission on June 18, 2025)</w:t>
              </w:r>
            </w:hyperlink>
          </w:p>
        </w:tc>
      </w:tr>
      <w:tr>
        <w:trPr/>
        <w:tc>
          <w:tcPr>
            <w:tcW w:w="6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4.20</w:t>
            </w:r>
          </w:p>
        </w:tc>
        <w:tc>
          <w:tcPr>
            <w:tcW w:w="90" w:type="dxa"/>
            <w:tcBorders/>
            <w:shd w:fill="CCEEFF" w:val="clear"/>
            <w:vAlign w:val="center"/>
          </w:tcPr>
          <w:p>
            <w:pPr>
              <w:pStyle w:val="TableContents"/>
              <w:bidi w:val="0"/>
              <w:spacing w:before="0" w:after="283"/>
              <w:jc w:val="left"/>
              <w:rPr/>
            </w:pPr>
            <w:r>
              <w:rPr/>
              <w:t> </w:t>
            </w:r>
          </w:p>
        </w:tc>
        <w:tc>
          <w:tcPr>
            <w:tcW w:w="9485" w:type="dxa"/>
            <w:tcBorders/>
            <w:shd w:fill="CCEEFF" w:val="clear"/>
            <w:vAlign w:val="center"/>
          </w:tcPr>
          <w:p>
            <w:pPr>
              <w:pStyle w:val="TableContents"/>
              <w:bidi w:val="0"/>
              <w:spacing w:before="0" w:after="283"/>
              <w:jc w:val="both"/>
              <w:rPr/>
            </w:pPr>
            <w:hyperlink r:id="rId64">
              <w:r>
                <w:rPr>
                  <w:rStyle w:val="InternetLink"/>
                  <w:rFonts w:ascii="Times New Roman;Times;Serif" w:hAnsi="Times New Roman;Times;Serif"/>
                </w:rPr>
                <w:t>Form of Share Purchase Agreement dated November 5, 2025, between Chanson International Holding and Purchasers (incorporated by reference to Exhibit 10.1 of the report of foreign private issuer on Form 6-K filed with the Securities and Exchange Commission on November 7, 2025)</w:t>
              </w:r>
            </w:hyperlink>
          </w:p>
        </w:tc>
      </w:tr>
      <w:tr>
        <w:trPr/>
        <w:tc>
          <w:tcPr>
            <w:tcW w:w="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4.21</w:t>
            </w:r>
          </w:p>
        </w:tc>
        <w:tc>
          <w:tcPr>
            <w:tcW w:w="90" w:type="dxa"/>
            <w:tcBorders/>
            <w:vAlign w:val="center"/>
          </w:tcPr>
          <w:p>
            <w:pPr>
              <w:pStyle w:val="TableContents"/>
              <w:bidi w:val="0"/>
              <w:spacing w:before="0" w:after="283"/>
              <w:jc w:val="left"/>
              <w:rPr/>
            </w:pPr>
            <w:r>
              <w:rPr/>
              <w:t> </w:t>
            </w:r>
          </w:p>
        </w:tc>
        <w:tc>
          <w:tcPr>
            <w:tcW w:w="9485" w:type="dxa"/>
            <w:tcBorders/>
            <w:vAlign w:val="center"/>
          </w:tcPr>
          <w:p>
            <w:pPr>
              <w:pStyle w:val="TableContents"/>
              <w:bidi w:val="0"/>
              <w:spacing w:before="0" w:after="283"/>
              <w:jc w:val="both"/>
              <w:rPr/>
            </w:pPr>
            <w:hyperlink r:id="rId65">
              <w:r>
                <w:rPr>
                  <w:rStyle w:val="InternetLink"/>
                  <w:rFonts w:ascii="Times New Roman;Times;Serif" w:hAnsi="Times New Roman;Times;Serif"/>
                  <w:sz w:val="20"/>
                </w:rPr>
                <w:t>Sales Agreement dated January 6, 2026 between the Registrant and AC Sunshine Securities LLC (incorporated by reference to Exhibit 10.1 of the report of foreign private issuer on Form 6-K filed with the Securities and Exchange Commission on January 7, 2026)</w:t>
              </w:r>
            </w:hyperlink>
          </w:p>
        </w:tc>
      </w:tr>
      <w:tr>
        <w:trPr/>
        <w:tc>
          <w:tcPr>
            <w:tcW w:w="6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8.1* </w:t>
            </w:r>
          </w:p>
        </w:tc>
        <w:tc>
          <w:tcPr>
            <w:tcW w:w="90" w:type="dxa"/>
            <w:tcBorders/>
            <w:shd w:fill="CCEEFF" w:val="clear"/>
            <w:vAlign w:val="center"/>
          </w:tcPr>
          <w:p>
            <w:pPr>
              <w:pStyle w:val="TableContents"/>
              <w:bidi w:val="0"/>
              <w:spacing w:before="0" w:after="283"/>
              <w:jc w:val="left"/>
              <w:rPr/>
            </w:pPr>
            <w:r>
              <w:rPr/>
              <w:t> </w:t>
            </w:r>
          </w:p>
        </w:tc>
        <w:tc>
          <w:tcPr>
            <w:tcW w:w="9485" w:type="dxa"/>
            <w:tcBorders/>
            <w:shd w:fill="CCEEFF" w:val="clear"/>
            <w:vAlign w:val="center"/>
          </w:tcPr>
          <w:p>
            <w:pPr>
              <w:pStyle w:val="TableContents"/>
              <w:bidi w:val="0"/>
              <w:spacing w:before="0" w:after="283"/>
              <w:jc w:val="both"/>
              <w:rPr/>
            </w:pPr>
            <w:hyperlink w:anchor="ea028662601ex8-1.htm">
              <w:r>
                <w:rPr>
                  <w:rStyle w:val="InternetLink"/>
                  <w:rFonts w:ascii="Times New Roman;Times;Serif" w:hAnsi="Times New Roman;Times;Serif"/>
                  <w:sz w:val="20"/>
                </w:rPr>
                <w:t>List of subsidiaries of the Registrant</w:t>
              </w:r>
            </w:hyperlink>
          </w:p>
        </w:tc>
      </w:tr>
      <w:tr>
        <w:trPr/>
        <w:tc>
          <w:tcPr>
            <w:tcW w:w="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11.1 </w:t>
            </w:r>
          </w:p>
        </w:tc>
        <w:tc>
          <w:tcPr>
            <w:tcW w:w="90" w:type="dxa"/>
            <w:tcBorders/>
            <w:vAlign w:val="center"/>
          </w:tcPr>
          <w:p>
            <w:pPr>
              <w:pStyle w:val="TableContents"/>
              <w:bidi w:val="0"/>
              <w:spacing w:before="0" w:after="283"/>
              <w:jc w:val="left"/>
              <w:rPr/>
            </w:pPr>
            <w:r>
              <w:rPr/>
              <w:t> </w:t>
            </w:r>
          </w:p>
        </w:tc>
        <w:tc>
          <w:tcPr>
            <w:tcW w:w="9485" w:type="dxa"/>
            <w:tcBorders/>
            <w:vAlign w:val="center"/>
          </w:tcPr>
          <w:p>
            <w:pPr>
              <w:pStyle w:val="TableContents"/>
              <w:bidi w:val="0"/>
              <w:spacing w:before="0" w:after="283"/>
              <w:jc w:val="both"/>
              <w:rPr/>
            </w:pPr>
            <w:hyperlink r:id="rId66">
              <w:r>
                <w:rPr>
                  <w:rStyle w:val="InternetLink"/>
                  <w:rFonts w:ascii="Times New Roman;Times;Serif" w:hAnsi="Times New Roman;Times;Serif"/>
                  <w:sz w:val="20"/>
                </w:rPr>
                <w:t>Code of Business Conduct and Ethics of the Registrant (incorporated by reference to Exhibit 99.1 of our Registration Statement on Form F-1 (File No. 333-254909) initially filed with the Securities and Exchange Commission on March 31, 2021)</w:t>
              </w:r>
            </w:hyperlink>
          </w:p>
        </w:tc>
      </w:tr>
      <w:tr>
        <w:trPr/>
        <w:tc>
          <w:tcPr>
            <w:tcW w:w="6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11.2 </w:t>
            </w:r>
          </w:p>
        </w:tc>
        <w:tc>
          <w:tcPr>
            <w:tcW w:w="90" w:type="dxa"/>
            <w:tcBorders/>
            <w:shd w:fill="CCEEFF" w:val="clear"/>
            <w:vAlign w:val="center"/>
          </w:tcPr>
          <w:p>
            <w:pPr>
              <w:pStyle w:val="TableContents"/>
              <w:bidi w:val="0"/>
              <w:spacing w:before="0" w:after="283"/>
              <w:jc w:val="left"/>
              <w:rPr/>
            </w:pPr>
            <w:r>
              <w:rPr/>
              <w:t> </w:t>
            </w:r>
          </w:p>
        </w:tc>
        <w:tc>
          <w:tcPr>
            <w:tcW w:w="9485" w:type="dxa"/>
            <w:tcBorders/>
            <w:shd w:fill="CCEEFF" w:val="clear"/>
            <w:vAlign w:val="center"/>
          </w:tcPr>
          <w:p>
            <w:pPr>
              <w:pStyle w:val="TableContents"/>
              <w:bidi w:val="0"/>
              <w:spacing w:before="0" w:after="283"/>
              <w:jc w:val="both"/>
              <w:rPr/>
            </w:pPr>
            <w:hyperlink r:id="rId67">
              <w:r>
                <w:rPr>
                  <w:rStyle w:val="InternetLink"/>
                  <w:rFonts w:ascii="Times New Roman;Times;Serif" w:hAnsi="Times New Roman;Times;Serif"/>
                  <w:sz w:val="20"/>
                </w:rPr>
                <w:t>Insider Trading Policy of the Registrant (incorporated by reference to Exhibit 11.2 of our annual report on Form 20-F for the fiscal year ended December 31, 2023 filed with the Securities and Exchange Commission on May 1, 2024)</w:t>
              </w:r>
            </w:hyperlink>
          </w:p>
        </w:tc>
      </w:tr>
      <w:tr>
        <w:trPr/>
        <w:tc>
          <w:tcPr>
            <w:tcW w:w="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12.1* </w:t>
            </w:r>
          </w:p>
        </w:tc>
        <w:tc>
          <w:tcPr>
            <w:tcW w:w="90" w:type="dxa"/>
            <w:tcBorders/>
            <w:vAlign w:val="center"/>
          </w:tcPr>
          <w:p>
            <w:pPr>
              <w:pStyle w:val="TableContents"/>
              <w:bidi w:val="0"/>
              <w:spacing w:before="0" w:after="283"/>
              <w:jc w:val="left"/>
              <w:rPr/>
            </w:pPr>
            <w:r>
              <w:rPr/>
              <w:t> </w:t>
            </w:r>
          </w:p>
        </w:tc>
        <w:tc>
          <w:tcPr>
            <w:tcW w:w="9485" w:type="dxa"/>
            <w:tcBorders/>
            <w:vAlign w:val="center"/>
          </w:tcPr>
          <w:p>
            <w:pPr>
              <w:pStyle w:val="TableContents"/>
              <w:bidi w:val="0"/>
              <w:spacing w:before="0" w:after="283"/>
              <w:jc w:val="both"/>
              <w:rPr/>
            </w:pPr>
            <w:hyperlink w:anchor="ea028662601ex12-1.htm">
              <w:r>
                <w:rPr>
                  <w:rStyle w:val="InternetLink"/>
                  <w:rFonts w:ascii="Times New Roman;Times;Serif" w:hAnsi="Times New Roman;Times;Serif"/>
                  <w:sz w:val="20"/>
                </w:rPr>
                <w:t>Certification of Chief Executive Officer pursuant to Section 302 of the Sarbanes-Oxley Act of 2002</w:t>
              </w:r>
            </w:hyperlink>
          </w:p>
        </w:tc>
      </w:tr>
      <w:tr>
        <w:trPr/>
        <w:tc>
          <w:tcPr>
            <w:tcW w:w="6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12.2* </w:t>
            </w:r>
          </w:p>
        </w:tc>
        <w:tc>
          <w:tcPr>
            <w:tcW w:w="90" w:type="dxa"/>
            <w:tcBorders/>
            <w:shd w:fill="CCEEFF" w:val="clear"/>
            <w:vAlign w:val="center"/>
          </w:tcPr>
          <w:p>
            <w:pPr>
              <w:pStyle w:val="TableContents"/>
              <w:bidi w:val="0"/>
              <w:spacing w:before="0" w:after="283"/>
              <w:jc w:val="left"/>
              <w:rPr/>
            </w:pPr>
            <w:r>
              <w:rPr/>
              <w:t> </w:t>
            </w:r>
          </w:p>
        </w:tc>
        <w:tc>
          <w:tcPr>
            <w:tcW w:w="9485" w:type="dxa"/>
            <w:tcBorders/>
            <w:shd w:fill="CCEEFF" w:val="clear"/>
            <w:vAlign w:val="center"/>
          </w:tcPr>
          <w:p>
            <w:pPr>
              <w:pStyle w:val="TableContents"/>
              <w:bidi w:val="0"/>
              <w:spacing w:before="0" w:after="283"/>
              <w:jc w:val="both"/>
              <w:rPr/>
            </w:pPr>
            <w:hyperlink w:anchor="ea028662601ex12-2.htm">
              <w:r>
                <w:rPr>
                  <w:rStyle w:val="InternetLink"/>
                  <w:rFonts w:ascii="Times New Roman;Times;Serif" w:hAnsi="Times New Roman;Times;Serif"/>
                  <w:sz w:val="20"/>
                </w:rPr>
                <w:t>Certification of Chief Financial Officer pursuant to Section 302 of the Sarbanes-Oxley Act of 2002</w:t>
              </w:r>
            </w:hyperlink>
          </w:p>
        </w:tc>
      </w:tr>
      <w:tr>
        <w:trPr/>
        <w:tc>
          <w:tcPr>
            <w:tcW w:w="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13.1*</w:t>
            </w:r>
          </w:p>
        </w:tc>
        <w:tc>
          <w:tcPr>
            <w:tcW w:w="90" w:type="dxa"/>
            <w:tcBorders/>
            <w:vAlign w:val="center"/>
          </w:tcPr>
          <w:p>
            <w:pPr>
              <w:pStyle w:val="TableContents"/>
              <w:bidi w:val="0"/>
              <w:spacing w:before="0" w:after="283"/>
              <w:jc w:val="left"/>
              <w:rPr/>
            </w:pPr>
            <w:r>
              <w:rPr/>
              <w:t> </w:t>
            </w:r>
          </w:p>
        </w:tc>
        <w:tc>
          <w:tcPr>
            <w:tcW w:w="9485" w:type="dxa"/>
            <w:tcBorders/>
            <w:vAlign w:val="center"/>
          </w:tcPr>
          <w:p>
            <w:pPr>
              <w:pStyle w:val="TableContents"/>
              <w:bidi w:val="0"/>
              <w:spacing w:before="0" w:after="283"/>
              <w:jc w:val="both"/>
              <w:rPr/>
            </w:pPr>
            <w:hyperlink w:anchor="ea028662601ex13-1.htm">
              <w:r>
                <w:rPr>
                  <w:rStyle w:val="InternetLink"/>
                  <w:rFonts w:ascii="Times New Roman;Times;Serif" w:hAnsi="Times New Roman;Times;Serif"/>
                  <w:sz w:val="20"/>
                </w:rPr>
                <w:t>Certification of Chief Executive Officer pursuant to 18 U.S.C. Section 1350, as adopted pursuant to Section 906 of the Sarbanes-Oxley Act of 2002</w:t>
              </w:r>
            </w:hyperlink>
          </w:p>
        </w:tc>
      </w:tr>
      <w:tr>
        <w:trPr/>
        <w:tc>
          <w:tcPr>
            <w:tcW w:w="6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13.2*</w:t>
            </w:r>
          </w:p>
        </w:tc>
        <w:tc>
          <w:tcPr>
            <w:tcW w:w="90" w:type="dxa"/>
            <w:tcBorders/>
            <w:shd w:fill="CCEEFF" w:val="clear"/>
            <w:vAlign w:val="center"/>
          </w:tcPr>
          <w:p>
            <w:pPr>
              <w:pStyle w:val="TableContents"/>
              <w:bidi w:val="0"/>
              <w:spacing w:before="0" w:after="283"/>
              <w:jc w:val="left"/>
              <w:rPr/>
            </w:pPr>
            <w:r>
              <w:rPr/>
              <w:t> </w:t>
            </w:r>
          </w:p>
        </w:tc>
        <w:tc>
          <w:tcPr>
            <w:tcW w:w="9485" w:type="dxa"/>
            <w:tcBorders/>
            <w:shd w:fill="CCEEFF" w:val="clear"/>
            <w:vAlign w:val="center"/>
          </w:tcPr>
          <w:p>
            <w:pPr>
              <w:pStyle w:val="TableContents"/>
              <w:bidi w:val="0"/>
              <w:spacing w:before="0" w:after="283"/>
              <w:jc w:val="both"/>
              <w:rPr/>
            </w:pPr>
            <w:hyperlink w:anchor="ea028662601ex13-2.htm">
              <w:r>
                <w:rPr>
                  <w:rStyle w:val="InternetLink"/>
                  <w:rFonts w:ascii="Times New Roman;Times;Serif" w:hAnsi="Times New Roman;Times;Serif"/>
                  <w:sz w:val="20"/>
                </w:rPr>
                <w:t>Certification of Chief Financial Officer pursuant to 18 U.S.C. Section 1350, as adopted pursuant to Section 906 of the Sarbanes-Oxley Act of 2002</w:t>
              </w:r>
            </w:hyperlink>
          </w:p>
        </w:tc>
      </w:tr>
      <w:tr>
        <w:trPr/>
        <w:tc>
          <w:tcPr>
            <w:tcW w:w="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15.1* </w:t>
            </w:r>
          </w:p>
        </w:tc>
        <w:tc>
          <w:tcPr>
            <w:tcW w:w="90" w:type="dxa"/>
            <w:tcBorders/>
            <w:vAlign w:val="center"/>
          </w:tcPr>
          <w:p>
            <w:pPr>
              <w:pStyle w:val="TableContents"/>
              <w:bidi w:val="0"/>
              <w:spacing w:before="0" w:after="283"/>
              <w:jc w:val="left"/>
              <w:rPr/>
            </w:pPr>
            <w:r>
              <w:rPr/>
              <w:t> </w:t>
            </w:r>
          </w:p>
        </w:tc>
        <w:tc>
          <w:tcPr>
            <w:tcW w:w="9485" w:type="dxa"/>
            <w:tcBorders/>
            <w:vAlign w:val="center"/>
          </w:tcPr>
          <w:p>
            <w:pPr>
              <w:pStyle w:val="TableContents"/>
              <w:bidi w:val="0"/>
              <w:spacing w:before="0" w:after="283"/>
              <w:jc w:val="both"/>
              <w:rPr/>
            </w:pPr>
            <w:hyperlink w:anchor="ea028662601ex15-1.htm">
              <w:r>
                <w:rPr>
                  <w:rStyle w:val="InternetLink"/>
                  <w:rFonts w:ascii="Times New Roman;Times;Serif" w:hAnsi="Times New Roman;Times;Serif"/>
                  <w:sz w:val="20"/>
                </w:rPr>
                <w:t>Consent of Beijing Dacheng Law Offices, LLP (Guangzhou)</w:t>
              </w:r>
            </w:hyperlink>
          </w:p>
        </w:tc>
      </w:tr>
      <w:tr>
        <w:trPr/>
        <w:tc>
          <w:tcPr>
            <w:tcW w:w="630" w:type="dxa"/>
            <w:tcBorders/>
            <w:shd w:fill="CCEEFF" w:val="clear"/>
            <w:vAlign w:val="center"/>
          </w:tcPr>
          <w:p>
            <w:pPr>
              <w:pStyle w:val="TableContents"/>
              <w:bidi w:val="0"/>
              <w:spacing w:before="0" w:after="283"/>
              <w:jc w:val="left"/>
              <w:rPr/>
            </w:pPr>
            <w:r>
              <w:rPr/>
              <w:t>15.2*</w:t>
            </w:r>
          </w:p>
        </w:tc>
        <w:tc>
          <w:tcPr>
            <w:tcW w:w="90" w:type="dxa"/>
            <w:tcBorders/>
            <w:shd w:fill="CCEEFF" w:val="clear"/>
            <w:vAlign w:val="center"/>
          </w:tcPr>
          <w:p>
            <w:pPr>
              <w:pStyle w:val="TableContents"/>
              <w:bidi w:val="0"/>
              <w:spacing w:before="0" w:after="283"/>
              <w:jc w:val="left"/>
              <w:rPr/>
            </w:pPr>
            <w:r>
              <w:rPr/>
              <w:t> </w:t>
            </w:r>
          </w:p>
        </w:tc>
        <w:tc>
          <w:tcPr>
            <w:tcW w:w="9485" w:type="dxa"/>
            <w:tcBorders/>
            <w:shd w:fill="CCEEFF" w:val="clear"/>
            <w:vAlign w:val="center"/>
          </w:tcPr>
          <w:p>
            <w:pPr>
              <w:pStyle w:val="TableContents"/>
              <w:bidi w:val="0"/>
              <w:spacing w:before="0" w:after="283"/>
              <w:jc w:val="both"/>
              <w:rPr/>
            </w:pPr>
            <w:hyperlink w:anchor="ea028662601ex15-2.htm">
              <w:r>
                <w:rPr>
                  <w:rStyle w:val="InternetLink"/>
                </w:rPr>
                <w:t>Consent of Assentsure PAC</w:t>
              </w:r>
            </w:hyperlink>
          </w:p>
        </w:tc>
      </w:tr>
      <w:tr>
        <w:trPr/>
        <w:tc>
          <w:tcPr>
            <w:tcW w:w="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15.3</w:t>
            </w:r>
          </w:p>
        </w:tc>
        <w:tc>
          <w:tcPr>
            <w:tcW w:w="90" w:type="dxa"/>
            <w:tcBorders/>
            <w:vAlign w:val="center"/>
          </w:tcPr>
          <w:p>
            <w:pPr>
              <w:pStyle w:val="TableContents"/>
              <w:bidi w:val="0"/>
              <w:spacing w:before="0" w:after="283"/>
              <w:jc w:val="left"/>
              <w:rPr/>
            </w:pPr>
            <w:r>
              <w:rPr/>
              <w:t> </w:t>
            </w:r>
          </w:p>
        </w:tc>
        <w:tc>
          <w:tcPr>
            <w:tcW w:w="9485" w:type="dxa"/>
            <w:tcBorders/>
            <w:vAlign w:val="center"/>
          </w:tcPr>
          <w:p>
            <w:pPr>
              <w:pStyle w:val="TableContents"/>
              <w:bidi w:val="0"/>
              <w:spacing w:before="0" w:after="283"/>
              <w:jc w:val="both"/>
              <w:rPr/>
            </w:pPr>
            <w:hyperlink r:id="rId68">
              <w:r>
                <w:rPr>
                  <w:rStyle w:val="InternetLink"/>
                  <w:rFonts w:ascii="Times New Roman;Times;Serif" w:hAnsi="Times New Roman;Times;Serif"/>
                  <w:sz w:val="20"/>
                </w:rPr>
                <w:t>Letter of Marcum Asia CPAs LLP to the U.S. Securities and Exchange Commission dated July 11, 2023 (incorporated by reference to Exhibit 16.1 of the report of foreign private issuer on Form 6-K filed with the SEC on July 11, 2023)</w:t>
              </w:r>
            </w:hyperlink>
          </w:p>
        </w:tc>
      </w:tr>
      <w:tr>
        <w:trPr/>
        <w:tc>
          <w:tcPr>
            <w:tcW w:w="6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97.1</w:t>
            </w:r>
          </w:p>
        </w:tc>
        <w:tc>
          <w:tcPr>
            <w:tcW w:w="90" w:type="dxa"/>
            <w:tcBorders/>
            <w:shd w:fill="CCEEFF" w:val="clear"/>
            <w:vAlign w:val="center"/>
          </w:tcPr>
          <w:p>
            <w:pPr>
              <w:pStyle w:val="TableContents"/>
              <w:bidi w:val="0"/>
              <w:spacing w:before="0" w:after="283"/>
              <w:jc w:val="left"/>
              <w:rPr/>
            </w:pPr>
            <w:r>
              <w:rPr/>
              <w:t> </w:t>
            </w:r>
          </w:p>
        </w:tc>
        <w:tc>
          <w:tcPr>
            <w:tcW w:w="9485" w:type="dxa"/>
            <w:tcBorders/>
            <w:shd w:fill="CCEEFF" w:val="clear"/>
            <w:vAlign w:val="center"/>
          </w:tcPr>
          <w:p>
            <w:pPr>
              <w:pStyle w:val="TableContents"/>
              <w:bidi w:val="0"/>
              <w:spacing w:before="0" w:after="283"/>
              <w:jc w:val="both"/>
              <w:rPr/>
            </w:pPr>
            <w:hyperlink r:id="rId69">
              <w:r>
                <w:rPr>
                  <w:rStyle w:val="InternetLink"/>
                  <w:rFonts w:ascii="Times New Roman;Times;Serif" w:hAnsi="Times New Roman;Times;Serif"/>
                  <w:sz w:val="20"/>
                </w:rPr>
                <w:t>Compensation Recovery Policy of the Registrant (incorporated by reference to Exhibit 97.1 of our annual report on Form 20-F for the fiscal year ended December 31, 2023 filed with the Securities and Exchange Commission on May 1, 2024)</w:t>
              </w:r>
            </w:hyperlink>
          </w:p>
        </w:tc>
      </w:tr>
      <w:tr>
        <w:trPr/>
        <w:tc>
          <w:tcPr>
            <w:tcW w:w="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101.INS* </w:t>
            </w:r>
          </w:p>
        </w:tc>
        <w:tc>
          <w:tcPr>
            <w:tcW w:w="90" w:type="dxa"/>
            <w:tcBorders/>
            <w:vAlign w:val="center"/>
          </w:tcPr>
          <w:p>
            <w:pPr>
              <w:pStyle w:val="TableContents"/>
              <w:bidi w:val="0"/>
              <w:spacing w:before="0" w:after="283"/>
              <w:jc w:val="left"/>
              <w:rPr/>
            </w:pPr>
            <w:r>
              <w:rPr/>
              <w:t> </w:t>
            </w:r>
          </w:p>
        </w:tc>
        <w:tc>
          <w:tcPr>
            <w:tcW w:w="9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Instance Document</w:t>
            </w:r>
          </w:p>
        </w:tc>
      </w:tr>
      <w:tr>
        <w:trPr/>
        <w:tc>
          <w:tcPr>
            <w:tcW w:w="6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101.SCH* </w:t>
            </w:r>
          </w:p>
        </w:tc>
        <w:tc>
          <w:tcPr>
            <w:tcW w:w="90" w:type="dxa"/>
            <w:tcBorders/>
            <w:shd w:fill="CCEEFF" w:val="clear"/>
            <w:vAlign w:val="center"/>
          </w:tcPr>
          <w:p>
            <w:pPr>
              <w:pStyle w:val="TableContents"/>
              <w:bidi w:val="0"/>
              <w:spacing w:before="0" w:after="283"/>
              <w:jc w:val="left"/>
              <w:rPr/>
            </w:pPr>
            <w:r>
              <w:rPr/>
              <w:t> </w:t>
            </w:r>
          </w:p>
        </w:tc>
        <w:tc>
          <w:tcPr>
            <w:tcW w:w="948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101.CAL* </w:t>
            </w:r>
          </w:p>
        </w:tc>
        <w:tc>
          <w:tcPr>
            <w:tcW w:w="90" w:type="dxa"/>
            <w:tcBorders/>
            <w:vAlign w:val="center"/>
          </w:tcPr>
          <w:p>
            <w:pPr>
              <w:pStyle w:val="TableContents"/>
              <w:bidi w:val="0"/>
              <w:spacing w:before="0" w:after="283"/>
              <w:jc w:val="left"/>
              <w:rPr/>
            </w:pPr>
            <w:r>
              <w:rPr/>
              <w:t> </w:t>
            </w:r>
          </w:p>
        </w:tc>
        <w:tc>
          <w:tcPr>
            <w:tcW w:w="9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6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101.DEF* </w:t>
            </w:r>
          </w:p>
        </w:tc>
        <w:tc>
          <w:tcPr>
            <w:tcW w:w="90" w:type="dxa"/>
            <w:tcBorders/>
            <w:shd w:fill="CCEEFF" w:val="clear"/>
            <w:vAlign w:val="center"/>
          </w:tcPr>
          <w:p>
            <w:pPr>
              <w:pStyle w:val="TableContents"/>
              <w:bidi w:val="0"/>
              <w:spacing w:before="0" w:after="283"/>
              <w:jc w:val="left"/>
              <w:rPr/>
            </w:pPr>
            <w:r>
              <w:rPr/>
              <w:t> </w:t>
            </w:r>
          </w:p>
        </w:tc>
        <w:tc>
          <w:tcPr>
            <w:tcW w:w="948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101.LAB* </w:t>
            </w:r>
          </w:p>
        </w:tc>
        <w:tc>
          <w:tcPr>
            <w:tcW w:w="90" w:type="dxa"/>
            <w:tcBorders/>
            <w:vAlign w:val="center"/>
          </w:tcPr>
          <w:p>
            <w:pPr>
              <w:pStyle w:val="TableContents"/>
              <w:bidi w:val="0"/>
              <w:spacing w:before="0" w:after="283"/>
              <w:jc w:val="left"/>
              <w:rPr/>
            </w:pPr>
            <w:r>
              <w:rPr/>
              <w:t> </w:t>
            </w:r>
          </w:p>
        </w:tc>
        <w:tc>
          <w:tcPr>
            <w:tcW w:w="9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6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101.PRE* </w:t>
            </w:r>
          </w:p>
        </w:tc>
        <w:tc>
          <w:tcPr>
            <w:tcW w:w="90" w:type="dxa"/>
            <w:tcBorders/>
            <w:shd w:fill="CCEEFF" w:val="clear"/>
            <w:vAlign w:val="center"/>
          </w:tcPr>
          <w:p>
            <w:pPr>
              <w:pStyle w:val="TableContents"/>
              <w:bidi w:val="0"/>
              <w:spacing w:before="0" w:after="283"/>
              <w:jc w:val="left"/>
              <w:rPr/>
            </w:pPr>
            <w:r>
              <w:rPr/>
              <w:t> </w:t>
            </w:r>
          </w:p>
        </w:tc>
        <w:tc>
          <w:tcPr>
            <w:tcW w:w="948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104* </w:t>
            </w:r>
          </w:p>
        </w:tc>
        <w:tc>
          <w:tcPr>
            <w:tcW w:w="90" w:type="dxa"/>
            <w:tcBorders/>
            <w:vAlign w:val="center"/>
          </w:tcPr>
          <w:p>
            <w:pPr>
              <w:pStyle w:val="TableContents"/>
              <w:bidi w:val="0"/>
              <w:spacing w:before="0" w:after="283"/>
              <w:jc w:val="left"/>
              <w:rPr/>
            </w:pPr>
            <w:r>
              <w:rPr/>
              <w:t> </w:t>
            </w:r>
          </w:p>
        </w:tc>
        <w:tc>
          <w:tcPr>
            <w:tcW w:w="9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0"/>
        <w:ind w:left="0" w:right="0" w:hanging="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275"/>
        <w:gridCol w:w="3920"/>
      </w:tblGrid>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Filed with this annual report on Form 20-F</w:t>
            </w:r>
          </w:p>
        </w:tc>
      </w:tr>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Furnished with this annual report on Form 20-F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hereby certifies that it meets all of the requirements for filing on Form 20-F and that it has duly caused and authorized the undersigned to sign this annual report on its behalf.</w:t>
      </w:r>
    </w:p>
    <w:p>
      <w:pPr>
        <w:pStyle w:val="TextBody"/>
        <w:bidi w:val="0"/>
        <w:spacing w:before="0" w:after="0"/>
        <w:ind w:left="0" w:right="0" w:hanging="0"/>
        <w:jc w:val="left"/>
        <w:rPr>
          <w:caps w:val="false"/>
          <w:smallCaps w:val="false"/>
        </w:rPr>
      </w:pPr>
      <w:r>
        <w:rPr>
          <w:caps w:val="false"/>
          <w:smallCaps w:val="false"/>
        </w:rPr>
        <w:t> </w:t>
      </w:r>
    </w:p>
    <w:tbl>
      <w:tblPr>
        <w:tblW w:w="5235" w:type="dxa"/>
        <w:jc w:val="left"/>
        <w:tblInd w:w="0" w:type="dxa"/>
        <w:tblLayout w:type="fixed"/>
        <w:tblCellMar>
          <w:top w:w="0" w:type="dxa"/>
          <w:left w:w="0" w:type="dxa"/>
          <w:bottom w:w="0" w:type="dxa"/>
          <w:right w:w="0" w:type="dxa"/>
        </w:tblCellMar>
      </w:tblPr>
      <w:tblGrid>
        <w:gridCol w:w="1730"/>
        <w:gridCol w:w="350"/>
        <w:gridCol w:w="3155"/>
      </w:tblGrid>
      <w:tr>
        <w:trPr/>
        <w:tc>
          <w:tcPr>
            <w:tcW w:w="1730" w:type="dxa"/>
            <w:tcBorders/>
            <w:vAlign w:val="center"/>
          </w:tcPr>
          <w:p>
            <w:pPr>
              <w:pStyle w:val="TableContents"/>
              <w:bidi w:val="0"/>
              <w:spacing w:before="0" w:after="283"/>
              <w:jc w:val="left"/>
              <w:rPr/>
            </w:pPr>
            <w:r>
              <w:rPr/>
              <w:t> </w:t>
            </w:r>
          </w:p>
        </w:tc>
        <w:tc>
          <w:tcPr>
            <w:tcW w:w="350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Chanson International Holding</w:t>
            </w:r>
          </w:p>
        </w:tc>
      </w:tr>
      <w:tr>
        <w:trPr/>
        <w:tc>
          <w:tcPr>
            <w:tcW w:w="173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3155" w:type="dxa"/>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Gang Li</w:t>
            </w:r>
          </w:p>
        </w:tc>
      </w:tr>
      <w:tr>
        <w:trPr/>
        <w:tc>
          <w:tcPr>
            <w:tcW w:w="173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Gang Li</w:t>
            </w:r>
          </w:p>
        </w:tc>
      </w:tr>
      <w:tr>
        <w:trPr/>
        <w:tc>
          <w:tcPr>
            <w:tcW w:w="173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Director, and</w:t>
            </w:r>
          </w:p>
        </w:tc>
      </w:tr>
      <w:tr>
        <w:trPr/>
        <w:tc>
          <w:tcPr>
            <w:tcW w:w="173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3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of the Board of Directors</w:t>
            </w:r>
          </w:p>
        </w:tc>
      </w:tr>
      <w:tr>
        <w:trPr/>
        <w:tc>
          <w:tcPr>
            <w:tcW w:w="173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3155" w:type="dxa"/>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April 20, 2026</w:t>
            </w:r>
          </w:p>
        </w:tc>
        <w:tc>
          <w:tcPr>
            <w:tcW w:w="350" w:type="dxa"/>
            <w:tcBorders/>
            <w:vAlign w:val="center"/>
          </w:tcPr>
          <w:p>
            <w:pPr>
              <w:pStyle w:val="TableContents"/>
              <w:bidi w:val="0"/>
              <w:spacing w:before="0" w:after="283"/>
              <w:jc w:val="left"/>
              <w:rPr/>
            </w:pPr>
            <w:r>
              <w:rPr/>
              <w:t> </w:t>
            </w:r>
          </w:p>
        </w:tc>
        <w:tc>
          <w:tcPr>
            <w:tcW w:w="315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CHANSON INTERNATIONAL HOLDING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313"/>
        <w:gridCol w:w="90"/>
        <w:gridCol w:w="802"/>
      </w:tblGrid>
      <w:tr>
        <w:trPr/>
        <w:tc>
          <w:tcPr>
            <w:tcW w:w="9313"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CONTENTS</w:t>
            </w:r>
            <w:r>
              <w:rPr>
                <w:rFonts w:ascii="Times New Roman;Times;Serif" w:hAnsi="Times New Roman;Times;Serif"/>
                <w:sz w:val="20"/>
              </w:rPr>
              <w:t> </w:t>
            </w:r>
          </w:p>
        </w:tc>
        <w:tc>
          <w:tcPr>
            <w:tcW w:w="90" w:type="dxa"/>
            <w:tcBorders/>
            <w:tcMar>
              <w:bottom w:w="0" w:type="dxa"/>
            </w:tcMar>
            <w:vAlign w:val="center"/>
          </w:tcPr>
          <w:p>
            <w:pPr>
              <w:pStyle w:val="TableContents"/>
              <w:bidi w:val="0"/>
              <w:spacing w:before="0" w:after="283"/>
              <w:jc w:val="left"/>
              <w:rPr/>
            </w:pPr>
            <w:r>
              <w:rPr/>
              <w:t> </w:t>
            </w:r>
          </w:p>
        </w:tc>
        <w:tc>
          <w:tcPr>
            <w:tcW w:w="802"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PAGE(S)</w:t>
            </w:r>
          </w:p>
        </w:tc>
      </w:tr>
      <w:tr>
        <w:trPr/>
        <w:tc>
          <w:tcPr>
            <w:tcW w:w="931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02" w:type="dxa"/>
            <w:tcBorders/>
            <w:tcMar>
              <w:bottom w:w="0" w:type="dxa"/>
            </w:tcMar>
            <w:vAlign w:val="center"/>
          </w:tcPr>
          <w:p>
            <w:pPr>
              <w:pStyle w:val="TableContents"/>
              <w:bidi w:val="0"/>
              <w:spacing w:before="0" w:after="283"/>
              <w:jc w:val="center"/>
              <w:rPr/>
            </w:pPr>
            <w:r>
              <w:rPr/>
              <w:t> </w:t>
            </w:r>
          </w:p>
        </w:tc>
      </w:tr>
      <w:tr>
        <w:trPr/>
        <w:tc>
          <w:tcPr>
            <w:tcW w:w="931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CONSOLIDATED FINANCIAL STATEMENTS</w:t>
            </w:r>
            <w:r>
              <w:rPr>
                <w:rFonts w:ascii="Times New Roman;Times;Serif" w:hAnsi="Times New Roman;Times;Serif"/>
                <w:sz w:val="20"/>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02" w:type="dxa"/>
            <w:tcBorders/>
            <w:shd w:fill="CCEEFF" w:val="clear"/>
            <w:tcMar>
              <w:bottom w:w="0" w:type="dxa"/>
            </w:tcMar>
            <w:vAlign w:val="center"/>
          </w:tcPr>
          <w:p>
            <w:pPr>
              <w:pStyle w:val="TableContents"/>
              <w:bidi w:val="0"/>
              <w:spacing w:before="0" w:after="283"/>
              <w:jc w:val="center"/>
              <w:rPr/>
            </w:pPr>
            <w:r>
              <w:rPr/>
              <w:t> </w:t>
            </w:r>
          </w:p>
        </w:tc>
      </w:tr>
      <w:tr>
        <w:trPr/>
        <w:tc>
          <w:tcPr>
            <w:tcW w:w="931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02" w:type="dxa"/>
            <w:tcBorders/>
            <w:tcMar>
              <w:bottom w:w="0" w:type="dxa"/>
            </w:tcMar>
            <w:vAlign w:val="center"/>
          </w:tcPr>
          <w:p>
            <w:pPr>
              <w:pStyle w:val="TableContents"/>
              <w:bidi w:val="0"/>
              <w:spacing w:before="0" w:after="283"/>
              <w:jc w:val="center"/>
              <w:rPr/>
            </w:pPr>
            <w:r>
              <w:rPr/>
              <w:t> </w:t>
            </w:r>
          </w:p>
        </w:tc>
      </w:tr>
      <w:tr>
        <w:trPr/>
        <w:tc>
          <w:tcPr>
            <w:tcW w:w="9313" w:type="dxa"/>
            <w:tcBorders/>
            <w:shd w:fill="CCEEFF" w:val="clear"/>
            <w:tcMar>
              <w:bottom w:w="0" w:type="dxa"/>
            </w:tcMar>
            <w:vAlign w:val="center"/>
          </w:tcPr>
          <w:p>
            <w:pPr>
              <w:pStyle w:val="TableContents"/>
              <w:bidi w:val="0"/>
              <w:spacing w:before="0" w:after="283"/>
              <w:jc w:val="both"/>
              <w:rPr/>
            </w:pPr>
            <w:hyperlink w:anchor="F_001">
              <w:r>
                <w:rPr>
                  <w:rStyle w:val="InternetLink"/>
                  <w:rFonts w:ascii="Times New Roman;Times;Serif" w:hAnsi="Times New Roman;Times;Serif"/>
                  <w:sz w:val="20"/>
                </w:rPr>
                <w:t>REPORT OF INDEPENDENT REGISTERED PUBLIC ACCOUNTING FIRM (Assentsure PAC, PCAOB ID: 6783)</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802"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F-2</w:t>
            </w:r>
          </w:p>
        </w:tc>
      </w:tr>
      <w:tr>
        <w:trPr/>
        <w:tc>
          <w:tcPr>
            <w:tcW w:w="931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02" w:type="dxa"/>
            <w:tcBorders/>
            <w:tcMar>
              <w:bottom w:w="0" w:type="dxa"/>
            </w:tcMar>
            <w:vAlign w:val="center"/>
          </w:tcPr>
          <w:p>
            <w:pPr>
              <w:pStyle w:val="TableContents"/>
              <w:bidi w:val="0"/>
              <w:spacing w:before="0" w:after="283"/>
              <w:jc w:val="center"/>
              <w:rPr/>
            </w:pPr>
            <w:r>
              <w:rPr/>
              <w:t> </w:t>
            </w:r>
          </w:p>
        </w:tc>
      </w:tr>
      <w:tr>
        <w:trPr/>
        <w:tc>
          <w:tcPr>
            <w:tcW w:w="9313" w:type="dxa"/>
            <w:tcBorders/>
            <w:shd w:fill="CCEEFF" w:val="clear"/>
            <w:tcMar>
              <w:bottom w:w="0" w:type="dxa"/>
            </w:tcMar>
            <w:vAlign w:val="center"/>
          </w:tcPr>
          <w:p>
            <w:pPr>
              <w:pStyle w:val="TableContents"/>
              <w:bidi w:val="0"/>
              <w:spacing w:before="0" w:after="283"/>
              <w:jc w:val="left"/>
              <w:rPr/>
            </w:pPr>
            <w:hyperlink w:anchor="F_002">
              <w:r>
                <w:rPr>
                  <w:rStyle w:val="InternetLink"/>
                  <w:rFonts w:ascii="Times New Roman;Times;Serif" w:hAnsi="Times New Roman;Times;Serif"/>
                  <w:sz w:val="20"/>
                </w:rPr>
                <w:t>CONSOLIDATED BALANCE SHEETS AS OF DECEMBER 31, 2025 AND 2024</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802"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F-3</w:t>
            </w:r>
          </w:p>
        </w:tc>
      </w:tr>
      <w:tr>
        <w:trPr/>
        <w:tc>
          <w:tcPr>
            <w:tcW w:w="931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02" w:type="dxa"/>
            <w:tcBorders/>
            <w:tcMar>
              <w:bottom w:w="0" w:type="dxa"/>
            </w:tcMar>
            <w:vAlign w:val="center"/>
          </w:tcPr>
          <w:p>
            <w:pPr>
              <w:pStyle w:val="TableContents"/>
              <w:bidi w:val="0"/>
              <w:spacing w:before="0" w:after="283"/>
              <w:ind w:left="0" w:right="0" w:hanging="180"/>
              <w:jc w:val="center"/>
              <w:rPr/>
            </w:pPr>
            <w:r>
              <w:rPr/>
              <w:t> </w:t>
            </w:r>
          </w:p>
        </w:tc>
      </w:tr>
      <w:tr>
        <w:trPr/>
        <w:tc>
          <w:tcPr>
            <w:tcW w:w="9313" w:type="dxa"/>
            <w:tcBorders/>
            <w:shd w:fill="CCEEFF" w:val="clear"/>
            <w:tcMar>
              <w:bottom w:w="0" w:type="dxa"/>
            </w:tcMar>
            <w:vAlign w:val="center"/>
          </w:tcPr>
          <w:p>
            <w:pPr>
              <w:pStyle w:val="TableContents"/>
              <w:bidi w:val="0"/>
              <w:spacing w:before="0" w:after="283"/>
              <w:jc w:val="left"/>
              <w:rPr/>
            </w:pPr>
            <w:hyperlink w:anchor="F_003">
              <w:r>
                <w:rPr>
                  <w:rStyle w:val="InternetLink"/>
                  <w:rFonts w:ascii="Times New Roman;Times;Serif" w:hAnsi="Times New Roman;Times;Serif"/>
                  <w:sz w:val="20"/>
                </w:rPr>
                <w:t>CONSOLIDATED STATEMENTS OF OPERATIONS AND COMPREHENSIVE INCOME (LOSS) FOR THE YEARS ENDED DECEMBER 31, 2025, 2024, AND 2023</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802"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F-4</w:t>
            </w:r>
          </w:p>
        </w:tc>
      </w:tr>
      <w:tr>
        <w:trPr/>
        <w:tc>
          <w:tcPr>
            <w:tcW w:w="931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02" w:type="dxa"/>
            <w:tcBorders/>
            <w:tcMar>
              <w:bottom w:w="0" w:type="dxa"/>
            </w:tcMar>
            <w:vAlign w:val="center"/>
          </w:tcPr>
          <w:p>
            <w:pPr>
              <w:pStyle w:val="TableContents"/>
              <w:bidi w:val="0"/>
              <w:spacing w:before="0" w:after="283"/>
              <w:ind w:left="0" w:right="0" w:hanging="180"/>
              <w:jc w:val="center"/>
              <w:rPr/>
            </w:pPr>
            <w:r>
              <w:rPr/>
              <w:t> </w:t>
            </w:r>
          </w:p>
        </w:tc>
      </w:tr>
      <w:tr>
        <w:trPr/>
        <w:tc>
          <w:tcPr>
            <w:tcW w:w="9313" w:type="dxa"/>
            <w:tcBorders/>
            <w:shd w:fill="CCEEFF" w:val="clear"/>
            <w:tcMar>
              <w:bottom w:w="0" w:type="dxa"/>
            </w:tcMar>
            <w:vAlign w:val="center"/>
          </w:tcPr>
          <w:p>
            <w:pPr>
              <w:pStyle w:val="TableContents"/>
              <w:bidi w:val="0"/>
              <w:spacing w:before="0" w:after="283"/>
              <w:jc w:val="left"/>
              <w:rPr/>
            </w:pPr>
            <w:hyperlink w:anchor="F_004">
              <w:r>
                <w:rPr>
                  <w:rStyle w:val="InternetLink"/>
                  <w:rFonts w:ascii="Times New Roman;Times;Serif" w:hAnsi="Times New Roman;Times;Serif"/>
                  <w:sz w:val="20"/>
                </w:rPr>
                <w:t>CONSOLIDATED STATEMENTS OF CHANGES IN SHAREHOLDERS’ EQUITY FOR THE YEARS ENDED DECEMBER 31, 2025, 2024, AND 2023</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802"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F-5</w:t>
            </w:r>
          </w:p>
        </w:tc>
      </w:tr>
      <w:tr>
        <w:trPr/>
        <w:tc>
          <w:tcPr>
            <w:tcW w:w="931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02" w:type="dxa"/>
            <w:tcBorders/>
            <w:tcMar>
              <w:bottom w:w="0" w:type="dxa"/>
            </w:tcMar>
            <w:vAlign w:val="center"/>
          </w:tcPr>
          <w:p>
            <w:pPr>
              <w:pStyle w:val="TableContents"/>
              <w:bidi w:val="0"/>
              <w:spacing w:before="0" w:after="283"/>
              <w:ind w:left="0" w:right="0" w:hanging="180"/>
              <w:jc w:val="center"/>
              <w:rPr/>
            </w:pPr>
            <w:r>
              <w:rPr/>
              <w:t> </w:t>
            </w:r>
          </w:p>
        </w:tc>
      </w:tr>
      <w:tr>
        <w:trPr/>
        <w:tc>
          <w:tcPr>
            <w:tcW w:w="9313" w:type="dxa"/>
            <w:tcBorders/>
            <w:shd w:fill="CCEEFF" w:val="clear"/>
            <w:tcMar>
              <w:bottom w:w="0" w:type="dxa"/>
            </w:tcMar>
            <w:vAlign w:val="center"/>
          </w:tcPr>
          <w:p>
            <w:pPr>
              <w:pStyle w:val="TableContents"/>
              <w:bidi w:val="0"/>
              <w:spacing w:before="0" w:after="283"/>
              <w:jc w:val="left"/>
              <w:rPr/>
            </w:pPr>
            <w:hyperlink w:anchor="F_005">
              <w:r>
                <w:rPr>
                  <w:rStyle w:val="InternetLink"/>
                  <w:rFonts w:ascii="Times New Roman;Times;Serif" w:hAnsi="Times New Roman;Times;Serif"/>
                  <w:sz w:val="20"/>
                </w:rPr>
                <w:t>CONSOLIDATED STATEMENTS OF CASH FLOWS FOR THE YEARS ENDED DECEMBER 31, 2025, 2024, AND 2023</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802"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F-6</w:t>
            </w:r>
          </w:p>
        </w:tc>
      </w:tr>
      <w:tr>
        <w:trPr/>
        <w:tc>
          <w:tcPr>
            <w:tcW w:w="931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02" w:type="dxa"/>
            <w:tcBorders/>
            <w:tcMar>
              <w:bottom w:w="0" w:type="dxa"/>
            </w:tcMar>
            <w:vAlign w:val="center"/>
          </w:tcPr>
          <w:p>
            <w:pPr>
              <w:pStyle w:val="TableContents"/>
              <w:bidi w:val="0"/>
              <w:spacing w:before="0" w:after="283"/>
              <w:jc w:val="center"/>
              <w:rPr/>
            </w:pPr>
            <w:r>
              <w:rPr/>
              <w:t> </w:t>
            </w:r>
          </w:p>
        </w:tc>
      </w:tr>
      <w:tr>
        <w:trPr/>
        <w:tc>
          <w:tcPr>
            <w:tcW w:w="9313" w:type="dxa"/>
            <w:tcBorders/>
            <w:shd w:fill="CCEEFF" w:val="clear"/>
            <w:tcMar>
              <w:bottom w:w="0" w:type="dxa"/>
            </w:tcMar>
            <w:vAlign w:val="center"/>
          </w:tcPr>
          <w:p>
            <w:pPr>
              <w:pStyle w:val="TableContents"/>
              <w:bidi w:val="0"/>
              <w:spacing w:before="0" w:after="283"/>
              <w:jc w:val="left"/>
              <w:rPr/>
            </w:pPr>
            <w:hyperlink w:anchor="F_006">
              <w:r>
                <w:rPr>
                  <w:rStyle w:val="InternetLink"/>
                  <w:rFonts w:ascii="Times New Roman;Times;Serif" w:hAnsi="Times New Roman;Times;Serif"/>
                  <w:sz w:val="20"/>
                </w:rPr>
                <w:t>NOTES TO CONSOLIDATED FINANCIAL STATEMENTS</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802"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F-7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6858000" cy="96202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70"/>
                    <a:stretch>
                      <a:fillRect/>
                    </a:stretch>
                  </pic:blipFill>
                  <pic:spPr bwMode="auto">
                    <a:xfrm>
                      <a:off x="0" y="0"/>
                      <a:ext cx="6858000" cy="96202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8" w:name="F_001"/>
      <w:bookmarkEnd w:id="38"/>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shareholders and the board of directors of Chanson International Holding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Chanson International Holding and its subsidiaries (the “Company”) as of December 31, 2025 and 2024, the related consolidated statements of operations and comprehensive income (loss), changes in shareholders’ equity, and cash flows for each of the three years in the period ended December 31, 2025, and the related notes (collectively referred to as the “financial statements”). In our opinion, the financial statements present fairly, in all material respects, the consolidated balance sheets of the Company as of December 31, 2025 and 2024, and the consolidated results of its operations and comprehensive income (loss), changes in shareholders’ equity and its cash flows each of the three years in the period ended December 31, 2025, in conformity with accounting principles generally accepted in the United States of America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(the “PCAOB”) and are required to be independent with respect to the Company in accordance with the United States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Assentsure PAC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20, 2026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PCAOB ID number: 6783</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9" w:name="F_002"/>
      <w:bookmarkEnd w:id="39"/>
      <w:r>
        <w:rPr>
          <w:rFonts w:ascii="Times New Roman;Times;Serif" w:hAnsi="Times New Roman;Times;Serif"/>
          <w:b/>
          <w:i w:val="false"/>
          <w:caps w:val="false"/>
          <w:smallCaps w:val="false"/>
          <w:sz w:val="20"/>
        </w:rPr>
        <w:t xml:space="preserve">CHANSON INTERNATIONAL HOLDING AND SUBSIDIARIES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CONSOLIDATED BALANCE SHEETS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98"/>
        <w:gridCol w:w="90"/>
        <w:gridCol w:w="175"/>
        <w:gridCol w:w="1169"/>
        <w:gridCol w:w="90"/>
        <w:gridCol w:w="90"/>
        <w:gridCol w:w="175"/>
        <w:gridCol w:w="1169"/>
        <w:gridCol w:w="149"/>
      </w:tblGrid>
      <w:tr>
        <w:trPr/>
        <w:tc>
          <w:tcPr>
            <w:tcW w:w="7098" w:type="dxa"/>
            <w:tcBorders/>
            <w:vAlign w:val="center"/>
          </w:tcPr>
          <w:p>
            <w:pPr>
              <w:pStyle w:val="TableContents"/>
              <w:bidi w:val="0"/>
              <w:spacing w:before="0" w:after="283"/>
              <w:ind w:left="0" w:right="0" w:hanging="180"/>
              <w:jc w:val="center"/>
              <w:rPr/>
            </w:pPr>
            <w:r>
              <w:rPr/>
              <w:t> </w:t>
            </w:r>
          </w:p>
        </w:tc>
        <w:tc>
          <w:tcPr>
            <w:tcW w:w="90" w:type="dxa"/>
            <w:tcBorders/>
            <w:vAlign w:val="center"/>
          </w:tcPr>
          <w:p>
            <w:pPr>
              <w:pStyle w:val="TableContents"/>
              <w:bidi w:val="0"/>
              <w:spacing w:before="0" w:after="283"/>
              <w:jc w:val="left"/>
              <w:rPr/>
            </w:pPr>
            <w:r>
              <w:rPr/>
              <w:t> </w:t>
            </w:r>
          </w:p>
        </w:tc>
        <w:tc>
          <w:tcPr>
            <w:tcW w:w="134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w:t>
            </w:r>
          </w:p>
        </w:tc>
        <w:tc>
          <w:tcPr>
            <w:tcW w:w="149" w:type="dxa"/>
            <w:tcBorders/>
            <w:vAlign w:val="center"/>
          </w:tcPr>
          <w:p>
            <w:pPr>
              <w:pStyle w:val="TableContents"/>
              <w:bidi w:val="0"/>
              <w:spacing w:before="0" w:after="283"/>
              <w:ind w:left="0" w:right="0" w:hanging="180"/>
              <w:jc w:val="left"/>
              <w:rPr/>
            </w:pPr>
            <w:r>
              <w:rPr/>
              <w:t> </w:t>
            </w:r>
          </w:p>
        </w:tc>
      </w:tr>
      <w:tr>
        <w:trPr/>
        <w:tc>
          <w:tcPr>
            <w:tcW w:w="709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4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49" w:type="dxa"/>
            <w:tcBorders/>
            <w:vAlign w:val="center"/>
          </w:tcPr>
          <w:p>
            <w:pPr>
              <w:pStyle w:val="TableContents"/>
              <w:bidi w:val="0"/>
              <w:spacing w:before="0" w:after="283"/>
              <w:ind w:left="0" w:right="0" w:hanging="180"/>
              <w:jc w:val="left"/>
              <w:rPr/>
            </w:pPr>
            <w:r>
              <w:rPr/>
              <w:t> </w:t>
            </w:r>
          </w:p>
        </w:tc>
      </w:tr>
      <w:tr>
        <w:trPr/>
        <w:tc>
          <w:tcPr>
            <w:tcW w:w="7098"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ASSETS</w:t>
            </w:r>
          </w:p>
        </w:tc>
        <w:tc>
          <w:tcPr>
            <w:tcW w:w="90" w:type="dxa"/>
            <w:tcBorders/>
            <w:vAlign w:val="center"/>
          </w:tcPr>
          <w:p>
            <w:pPr>
              <w:pStyle w:val="TableContents"/>
              <w:bidi w:val="0"/>
              <w:spacing w:before="0" w:after="283"/>
              <w:jc w:val="left"/>
              <w:rPr/>
            </w:pPr>
            <w:r>
              <w:rPr/>
              <w:t> </w:t>
            </w:r>
          </w:p>
        </w:tc>
        <w:tc>
          <w:tcPr>
            <w:tcW w:w="1344"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4" w:type="dxa"/>
            <w:gridSpan w:val="2"/>
            <w:tcBorders/>
            <w:vAlign w:val="center"/>
          </w:tcPr>
          <w:p>
            <w:pPr>
              <w:pStyle w:val="TableContents"/>
              <w:bidi w:val="0"/>
              <w:spacing w:before="0" w:after="283"/>
              <w:jc w:val="center"/>
              <w:rPr/>
            </w:pPr>
            <w:r>
              <w:rPr/>
              <w:t> </w:t>
            </w:r>
          </w:p>
        </w:tc>
        <w:tc>
          <w:tcPr>
            <w:tcW w:w="149" w:type="dxa"/>
            <w:tcBorders/>
            <w:vAlign w:val="center"/>
          </w:tcPr>
          <w:p>
            <w:pPr>
              <w:pStyle w:val="TableContents"/>
              <w:bidi w:val="0"/>
              <w:spacing w:before="0" w:after="283"/>
              <w:ind w:left="0" w:right="0" w:hanging="180"/>
              <w:jc w:val="left"/>
              <w:rPr/>
            </w:pPr>
            <w:r>
              <w:rPr/>
              <w:t> </w:t>
            </w:r>
          </w:p>
        </w:tc>
      </w:tr>
      <w:tr>
        <w:trPr/>
        <w:tc>
          <w:tcPr>
            <w:tcW w:w="7098"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CURRENT ASSETS:</w:t>
            </w:r>
          </w:p>
        </w:tc>
        <w:tc>
          <w:tcPr>
            <w:tcW w:w="90" w:type="dxa"/>
            <w:tcBorders/>
            <w:vAlign w:val="center"/>
          </w:tcPr>
          <w:p>
            <w:pPr>
              <w:pStyle w:val="TableContents"/>
              <w:bidi w:val="0"/>
              <w:spacing w:before="0" w:after="283"/>
              <w:jc w:val="left"/>
              <w:rPr/>
            </w:pPr>
            <w:r>
              <w:rPr/>
              <w:t> </w:t>
            </w:r>
          </w:p>
        </w:tc>
        <w:tc>
          <w:tcPr>
            <w:tcW w:w="1344"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4" w:type="dxa"/>
            <w:gridSpan w:val="2"/>
            <w:tcBorders/>
            <w:vAlign w:val="center"/>
          </w:tcPr>
          <w:p>
            <w:pPr>
              <w:pStyle w:val="TableContents"/>
              <w:bidi w:val="0"/>
              <w:spacing w:before="0" w:after="283"/>
              <w:jc w:val="right"/>
              <w:rPr/>
            </w:pPr>
            <w:r>
              <w:rPr/>
              <w:t> </w:t>
            </w:r>
          </w:p>
        </w:tc>
        <w:tc>
          <w:tcPr>
            <w:tcW w:w="149" w:type="dxa"/>
            <w:tcBorders/>
            <w:vAlign w:val="center"/>
          </w:tcPr>
          <w:p>
            <w:pPr>
              <w:pStyle w:val="TableContents"/>
              <w:bidi w:val="0"/>
              <w:spacing w:before="0" w:after="283"/>
              <w:ind w:left="0" w:right="0" w:hanging="180"/>
              <w:jc w:val="left"/>
              <w:rPr/>
            </w:pPr>
            <w:r>
              <w:rPr/>
              <w:t> </w:t>
            </w:r>
          </w:p>
        </w:tc>
      </w:tr>
      <w:tr>
        <w:trPr/>
        <w:tc>
          <w:tcPr>
            <w:tcW w:w="7098"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Cash and cash equivalents</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8,644,357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12,102,763</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70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Accounts receivable</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1,738,052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991,467</w:t>
            </w:r>
          </w:p>
        </w:tc>
        <w:tc>
          <w:tcPr>
            <w:tcW w:w="149" w:type="dxa"/>
            <w:tcBorders/>
            <w:vAlign w:val="center"/>
          </w:tcPr>
          <w:p>
            <w:pPr>
              <w:pStyle w:val="TableContents"/>
              <w:bidi w:val="0"/>
              <w:spacing w:before="0" w:after="283"/>
              <w:ind w:left="0" w:right="0" w:hanging="180"/>
              <w:jc w:val="left"/>
              <w:rPr/>
            </w:pPr>
            <w:r>
              <w:rPr/>
              <w:t> </w:t>
            </w:r>
          </w:p>
        </w:tc>
      </w:tr>
      <w:tr>
        <w:trPr/>
        <w:tc>
          <w:tcPr>
            <w:tcW w:w="7098"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Inventories</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830,597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738,773</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70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Long term loan to a third-party, current</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2,000,000</w:t>
            </w:r>
          </w:p>
        </w:tc>
        <w:tc>
          <w:tcPr>
            <w:tcW w:w="149" w:type="dxa"/>
            <w:tcBorders/>
            <w:vAlign w:val="center"/>
          </w:tcPr>
          <w:p>
            <w:pPr>
              <w:pStyle w:val="TableContents"/>
              <w:bidi w:val="0"/>
              <w:spacing w:before="0" w:after="283"/>
              <w:ind w:left="0" w:right="0" w:hanging="180"/>
              <w:jc w:val="left"/>
              <w:rPr/>
            </w:pPr>
            <w:r>
              <w:rPr/>
              <w:t> </w:t>
            </w:r>
          </w:p>
        </w:tc>
      </w:tr>
      <w:tr>
        <w:trPr/>
        <w:tc>
          <w:tcPr>
            <w:tcW w:w="7098"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Prepaid expenses and other current assets</w:t>
            </w:r>
          </w:p>
        </w:tc>
        <w:tc>
          <w:tcPr>
            <w:tcW w:w="9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972,787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2,595,417</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7098"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7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12,185,793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18,428,420</w:t>
            </w:r>
          </w:p>
        </w:tc>
        <w:tc>
          <w:tcPr>
            <w:tcW w:w="149" w:type="dxa"/>
            <w:tcBorders/>
            <w:vAlign w:val="center"/>
          </w:tcPr>
          <w:p>
            <w:pPr>
              <w:pStyle w:val="TableContents"/>
              <w:bidi w:val="0"/>
              <w:spacing w:before="0" w:after="283"/>
              <w:ind w:left="0" w:right="0" w:hanging="180"/>
              <w:jc w:val="left"/>
              <w:rPr/>
            </w:pPr>
            <w:r>
              <w:rPr/>
              <w:t> </w:t>
            </w:r>
          </w:p>
        </w:tc>
      </w:tr>
      <w:tr>
        <w:trPr/>
        <w:tc>
          <w:tcPr>
            <w:tcW w:w="7098"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 </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7098"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NON-CURRENT ASSETS:</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 </w:t>
            </w:r>
          </w:p>
        </w:tc>
        <w:tc>
          <w:tcPr>
            <w:tcW w:w="149" w:type="dxa"/>
            <w:tcBorders/>
            <w:vAlign w:val="center"/>
          </w:tcPr>
          <w:p>
            <w:pPr>
              <w:pStyle w:val="TableContents"/>
              <w:bidi w:val="0"/>
              <w:spacing w:before="0" w:after="283"/>
              <w:ind w:left="0" w:right="0" w:hanging="180"/>
              <w:jc w:val="left"/>
              <w:rPr/>
            </w:pPr>
            <w:r>
              <w:rPr/>
              <w:t> </w:t>
            </w:r>
          </w:p>
        </w:tc>
      </w:tr>
      <w:tr>
        <w:trPr/>
        <w:tc>
          <w:tcPr>
            <w:tcW w:w="7098"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Operating lease right-of-use assets</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8,297,961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11,021,615</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70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Property and equipment, net</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7,063,992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4,444,473</w:t>
            </w:r>
          </w:p>
        </w:tc>
        <w:tc>
          <w:tcPr>
            <w:tcW w:w="149" w:type="dxa"/>
            <w:tcBorders/>
            <w:vAlign w:val="center"/>
          </w:tcPr>
          <w:p>
            <w:pPr>
              <w:pStyle w:val="TableContents"/>
              <w:bidi w:val="0"/>
              <w:spacing w:before="0" w:after="283"/>
              <w:ind w:left="0" w:right="0" w:hanging="180"/>
              <w:jc w:val="left"/>
              <w:rPr/>
            </w:pPr>
            <w:r>
              <w:rPr/>
              <w:t> </w:t>
            </w:r>
          </w:p>
        </w:tc>
      </w:tr>
      <w:tr>
        <w:trPr/>
        <w:tc>
          <w:tcPr>
            <w:tcW w:w="7098"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Intangible assets, net</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226,250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262,500</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70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Long term security deposits</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776,419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944,170</w:t>
            </w:r>
          </w:p>
        </w:tc>
        <w:tc>
          <w:tcPr>
            <w:tcW w:w="149" w:type="dxa"/>
            <w:tcBorders/>
            <w:vAlign w:val="center"/>
          </w:tcPr>
          <w:p>
            <w:pPr>
              <w:pStyle w:val="TableContents"/>
              <w:bidi w:val="0"/>
              <w:spacing w:before="0" w:after="283"/>
              <w:ind w:left="0" w:right="0" w:hanging="180"/>
              <w:jc w:val="left"/>
              <w:rPr/>
            </w:pPr>
            <w:r>
              <w:rPr/>
              <w:t> </w:t>
            </w:r>
          </w:p>
        </w:tc>
      </w:tr>
      <w:tr>
        <w:trPr/>
        <w:tc>
          <w:tcPr>
            <w:tcW w:w="7098"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Long term debt investments</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53,138,801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6,359,014</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70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Long term prepaid expenses</w:t>
            </w:r>
          </w:p>
        </w:tc>
        <w:tc>
          <w:tcPr>
            <w:tcW w:w="90" w:type="dxa"/>
            <w:tcBorders/>
            <w:vAlign w:val="center"/>
          </w:tcPr>
          <w:p>
            <w:pPr>
              <w:pStyle w:val="TableContents"/>
              <w:bidi w:val="0"/>
              <w:spacing w:before="0" w:after="283"/>
              <w:jc w:val="left"/>
              <w:rPr/>
            </w:pPr>
            <w:r>
              <w:rPr/>
              <w:t> </w:t>
            </w:r>
          </w:p>
        </w:tc>
        <w:tc>
          <w:tcPr>
            <w:tcW w:w="17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296,575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315,642</w:t>
            </w:r>
          </w:p>
        </w:tc>
        <w:tc>
          <w:tcPr>
            <w:tcW w:w="149" w:type="dxa"/>
            <w:tcBorders/>
            <w:vAlign w:val="center"/>
          </w:tcPr>
          <w:p>
            <w:pPr>
              <w:pStyle w:val="TableContents"/>
              <w:bidi w:val="0"/>
              <w:spacing w:before="0" w:after="283"/>
              <w:ind w:left="0" w:right="0" w:hanging="180"/>
              <w:jc w:val="left"/>
              <w:rPr/>
            </w:pPr>
            <w:r>
              <w:rPr/>
              <w:t> </w:t>
            </w:r>
          </w:p>
        </w:tc>
      </w:tr>
      <w:tr>
        <w:trPr/>
        <w:tc>
          <w:tcPr>
            <w:tcW w:w="7098"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69,799,998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23,347,414</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7098"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 </w:t>
            </w:r>
          </w:p>
        </w:tc>
        <w:tc>
          <w:tcPr>
            <w:tcW w:w="149" w:type="dxa"/>
            <w:tcBorders/>
            <w:vAlign w:val="center"/>
          </w:tcPr>
          <w:p>
            <w:pPr>
              <w:pStyle w:val="TableContents"/>
              <w:bidi w:val="0"/>
              <w:spacing w:before="0" w:after="283"/>
              <w:ind w:left="0" w:right="0" w:hanging="180"/>
              <w:jc w:val="left"/>
              <w:rPr/>
            </w:pPr>
            <w:r>
              <w:rPr/>
              <w:t> </w:t>
            </w:r>
          </w:p>
        </w:tc>
      </w:tr>
      <w:tr>
        <w:trPr/>
        <w:tc>
          <w:tcPr>
            <w:tcW w:w="7098"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TOTAL ASSETS</w:t>
            </w:r>
          </w:p>
        </w:tc>
        <w:tc>
          <w:tcPr>
            <w:tcW w:w="90" w:type="dxa"/>
            <w:tcBorders/>
            <w:shd w:fill="CCEEFF" w:val="clear"/>
            <w:vAlign w:val="center"/>
          </w:tcPr>
          <w:p>
            <w:pPr>
              <w:pStyle w:val="TableContents"/>
              <w:bidi w:val="0"/>
              <w:spacing w:before="0" w:after="283"/>
              <w:jc w:val="left"/>
              <w:rPr/>
            </w:pPr>
            <w:r>
              <w:rPr/>
              <w:t> </w:t>
            </w:r>
          </w:p>
        </w:tc>
        <w:tc>
          <w:tcPr>
            <w:tcW w:w="17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6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81,985,791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6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41,775,834</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7098"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 </w:t>
            </w:r>
          </w:p>
        </w:tc>
        <w:tc>
          <w:tcPr>
            <w:tcW w:w="149" w:type="dxa"/>
            <w:tcBorders/>
            <w:vAlign w:val="center"/>
          </w:tcPr>
          <w:p>
            <w:pPr>
              <w:pStyle w:val="TableContents"/>
              <w:bidi w:val="0"/>
              <w:spacing w:before="0" w:after="283"/>
              <w:ind w:left="0" w:right="0" w:hanging="180"/>
              <w:jc w:val="left"/>
              <w:rPr/>
            </w:pPr>
            <w:r>
              <w:rPr/>
              <w:t> </w:t>
            </w:r>
          </w:p>
        </w:tc>
      </w:tr>
      <w:tr>
        <w:trPr/>
        <w:tc>
          <w:tcPr>
            <w:tcW w:w="7098"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LIABILITIES</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 </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7098"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CURRENT LIABILITIES:</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 </w:t>
            </w:r>
          </w:p>
        </w:tc>
        <w:tc>
          <w:tcPr>
            <w:tcW w:w="149" w:type="dxa"/>
            <w:tcBorders/>
            <w:vAlign w:val="center"/>
          </w:tcPr>
          <w:p>
            <w:pPr>
              <w:pStyle w:val="TableContents"/>
              <w:bidi w:val="0"/>
              <w:spacing w:before="0" w:after="283"/>
              <w:ind w:left="0" w:right="0" w:hanging="180"/>
              <w:jc w:val="left"/>
              <w:rPr/>
            </w:pPr>
            <w:r>
              <w:rPr/>
              <w:t> </w:t>
            </w:r>
          </w:p>
        </w:tc>
      </w:tr>
      <w:tr>
        <w:trPr/>
        <w:tc>
          <w:tcPr>
            <w:tcW w:w="7098"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Short-term bank loans</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428,844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1,507,159</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70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Current portion of long-term bank loans</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371,665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w:t>
            </w:r>
          </w:p>
        </w:tc>
        <w:tc>
          <w:tcPr>
            <w:tcW w:w="149" w:type="dxa"/>
            <w:tcBorders/>
            <w:vAlign w:val="center"/>
          </w:tcPr>
          <w:p>
            <w:pPr>
              <w:pStyle w:val="TableContents"/>
              <w:bidi w:val="0"/>
              <w:spacing w:before="0" w:after="283"/>
              <w:ind w:left="0" w:right="0" w:hanging="180"/>
              <w:jc w:val="left"/>
              <w:rPr/>
            </w:pPr>
            <w:r>
              <w:rPr/>
              <w:t> </w:t>
            </w:r>
          </w:p>
        </w:tc>
      </w:tr>
      <w:tr>
        <w:trPr/>
        <w:tc>
          <w:tcPr>
            <w:tcW w:w="7098"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Accounts payable</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3,779,261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2,127,740</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70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Due to a related party</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6,753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772,489</w:t>
            </w:r>
          </w:p>
        </w:tc>
        <w:tc>
          <w:tcPr>
            <w:tcW w:w="149" w:type="dxa"/>
            <w:tcBorders/>
            <w:vAlign w:val="center"/>
          </w:tcPr>
          <w:p>
            <w:pPr>
              <w:pStyle w:val="TableContents"/>
              <w:bidi w:val="0"/>
              <w:spacing w:before="0" w:after="283"/>
              <w:ind w:left="0" w:right="0" w:hanging="180"/>
              <w:jc w:val="left"/>
              <w:rPr/>
            </w:pPr>
            <w:r>
              <w:rPr/>
              <w:t> </w:t>
            </w:r>
          </w:p>
        </w:tc>
      </w:tr>
      <w:tr>
        <w:trPr/>
        <w:tc>
          <w:tcPr>
            <w:tcW w:w="7098"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Taxes payable</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249,300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48,712</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70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Deferred revenue</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7,670,555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6,697,964</w:t>
            </w:r>
          </w:p>
        </w:tc>
        <w:tc>
          <w:tcPr>
            <w:tcW w:w="149" w:type="dxa"/>
            <w:tcBorders/>
            <w:vAlign w:val="center"/>
          </w:tcPr>
          <w:p>
            <w:pPr>
              <w:pStyle w:val="TableContents"/>
              <w:bidi w:val="0"/>
              <w:spacing w:before="0" w:after="283"/>
              <w:ind w:left="0" w:right="0" w:hanging="180"/>
              <w:jc w:val="left"/>
              <w:rPr/>
            </w:pPr>
            <w:r>
              <w:rPr/>
              <w:t> </w:t>
            </w:r>
          </w:p>
        </w:tc>
      </w:tr>
      <w:tr>
        <w:trPr/>
        <w:tc>
          <w:tcPr>
            <w:tcW w:w="7098"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Operating lease liabilities, current</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1,777,697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2,325,390</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70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Other current liabilities</w:t>
            </w:r>
          </w:p>
        </w:tc>
        <w:tc>
          <w:tcPr>
            <w:tcW w:w="90" w:type="dxa"/>
            <w:tcBorders/>
            <w:vAlign w:val="center"/>
          </w:tcPr>
          <w:p>
            <w:pPr>
              <w:pStyle w:val="TableContents"/>
              <w:bidi w:val="0"/>
              <w:spacing w:before="0" w:after="283"/>
              <w:jc w:val="left"/>
              <w:rPr/>
            </w:pPr>
            <w:r>
              <w:rPr/>
              <w:t> </w:t>
            </w:r>
          </w:p>
        </w:tc>
        <w:tc>
          <w:tcPr>
            <w:tcW w:w="17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823,821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662,963</w:t>
            </w:r>
          </w:p>
        </w:tc>
        <w:tc>
          <w:tcPr>
            <w:tcW w:w="149" w:type="dxa"/>
            <w:tcBorders/>
            <w:vAlign w:val="center"/>
          </w:tcPr>
          <w:p>
            <w:pPr>
              <w:pStyle w:val="TableContents"/>
              <w:bidi w:val="0"/>
              <w:spacing w:before="0" w:after="283"/>
              <w:ind w:left="0" w:right="0" w:hanging="180"/>
              <w:jc w:val="left"/>
              <w:rPr/>
            </w:pPr>
            <w:r>
              <w:rPr/>
              <w:t> </w:t>
            </w:r>
          </w:p>
        </w:tc>
      </w:tr>
      <w:tr>
        <w:trPr/>
        <w:tc>
          <w:tcPr>
            <w:tcW w:w="7098"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15,107,896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14,142,417</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7098"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 </w:t>
            </w:r>
          </w:p>
        </w:tc>
        <w:tc>
          <w:tcPr>
            <w:tcW w:w="149" w:type="dxa"/>
            <w:tcBorders/>
            <w:vAlign w:val="center"/>
          </w:tcPr>
          <w:p>
            <w:pPr>
              <w:pStyle w:val="TableContents"/>
              <w:bidi w:val="0"/>
              <w:spacing w:before="0" w:after="283"/>
              <w:ind w:left="0" w:right="0" w:hanging="180"/>
              <w:jc w:val="left"/>
              <w:rPr/>
            </w:pPr>
            <w:r>
              <w:rPr/>
              <w:t> </w:t>
            </w:r>
          </w:p>
        </w:tc>
      </w:tr>
      <w:tr>
        <w:trPr/>
        <w:tc>
          <w:tcPr>
            <w:tcW w:w="7098"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NON-CURRENT LIABILITIES</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 </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70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Operating lease liabilities, non-current</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6,021,153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9,207,971</w:t>
            </w:r>
          </w:p>
        </w:tc>
        <w:tc>
          <w:tcPr>
            <w:tcW w:w="149" w:type="dxa"/>
            <w:tcBorders/>
            <w:vAlign w:val="center"/>
          </w:tcPr>
          <w:p>
            <w:pPr>
              <w:pStyle w:val="TableContents"/>
              <w:bidi w:val="0"/>
              <w:spacing w:before="0" w:after="283"/>
              <w:ind w:left="0" w:right="0" w:hanging="180"/>
              <w:jc w:val="left"/>
              <w:rPr/>
            </w:pPr>
            <w:r>
              <w:rPr/>
              <w:t> </w:t>
            </w:r>
          </w:p>
        </w:tc>
      </w:tr>
      <w:tr>
        <w:trPr/>
        <w:tc>
          <w:tcPr>
            <w:tcW w:w="7098"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Long-term bank loans</w:t>
            </w:r>
          </w:p>
        </w:tc>
        <w:tc>
          <w:tcPr>
            <w:tcW w:w="9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4,645,810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7098"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7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10,666,963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9,207,971</w:t>
            </w:r>
          </w:p>
        </w:tc>
        <w:tc>
          <w:tcPr>
            <w:tcW w:w="149" w:type="dxa"/>
            <w:tcBorders/>
            <w:vAlign w:val="center"/>
          </w:tcPr>
          <w:p>
            <w:pPr>
              <w:pStyle w:val="TableContents"/>
              <w:bidi w:val="0"/>
              <w:spacing w:before="0" w:after="283"/>
              <w:ind w:left="0" w:right="0" w:hanging="180"/>
              <w:jc w:val="left"/>
              <w:rPr/>
            </w:pPr>
            <w:r>
              <w:rPr/>
              <w:t> </w:t>
            </w:r>
          </w:p>
        </w:tc>
      </w:tr>
      <w:tr>
        <w:trPr/>
        <w:tc>
          <w:tcPr>
            <w:tcW w:w="7098"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 </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7098"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TOTAL LIABILITIES</w:t>
            </w:r>
          </w:p>
        </w:tc>
        <w:tc>
          <w:tcPr>
            <w:tcW w:w="90" w:type="dxa"/>
            <w:tcBorders/>
            <w:vAlign w:val="center"/>
          </w:tcPr>
          <w:p>
            <w:pPr>
              <w:pStyle w:val="TableContents"/>
              <w:bidi w:val="0"/>
              <w:spacing w:before="0" w:after="283"/>
              <w:jc w:val="left"/>
              <w:rPr/>
            </w:pPr>
            <w:r>
              <w:rPr/>
              <w:t> </w:t>
            </w:r>
          </w:p>
        </w:tc>
        <w:tc>
          <w:tcPr>
            <w:tcW w:w="17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25,774,859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23,350,388</w:t>
            </w:r>
          </w:p>
        </w:tc>
        <w:tc>
          <w:tcPr>
            <w:tcW w:w="149" w:type="dxa"/>
            <w:tcBorders/>
            <w:vAlign w:val="center"/>
          </w:tcPr>
          <w:p>
            <w:pPr>
              <w:pStyle w:val="TableContents"/>
              <w:bidi w:val="0"/>
              <w:spacing w:before="0" w:after="283"/>
              <w:ind w:left="0" w:right="0" w:hanging="180"/>
              <w:jc w:val="left"/>
              <w:rPr/>
            </w:pPr>
            <w:r>
              <w:rPr/>
              <w:t> </w:t>
            </w:r>
          </w:p>
        </w:tc>
      </w:tr>
      <w:tr>
        <w:trPr/>
        <w:tc>
          <w:tcPr>
            <w:tcW w:w="7098"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 </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7098"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COMMITMENTS AND CONTINGENCIES (Note 15)</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0"/>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0"/>
              <w:jc w:val="right"/>
              <w:rPr/>
            </w:pPr>
            <w:r>
              <w:rPr/>
              <w:t> </w:t>
            </w:r>
          </w:p>
        </w:tc>
        <w:tc>
          <w:tcPr>
            <w:tcW w:w="149" w:type="dxa"/>
            <w:tcBorders/>
            <w:vAlign w:val="center"/>
          </w:tcPr>
          <w:p>
            <w:pPr>
              <w:pStyle w:val="TableContents"/>
              <w:bidi w:val="0"/>
              <w:spacing w:before="0" w:after="283"/>
              <w:ind w:left="0" w:right="0" w:hanging="180"/>
              <w:jc w:val="left"/>
              <w:rPr/>
            </w:pPr>
            <w:r>
              <w:rPr/>
              <w:t> </w:t>
            </w:r>
          </w:p>
        </w:tc>
      </w:tr>
      <w:tr>
        <w:trPr/>
        <w:tc>
          <w:tcPr>
            <w:tcW w:w="7098"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 </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7098"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SHAREHOLDERS’ EQUITY</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 </w:t>
            </w:r>
          </w:p>
        </w:tc>
        <w:tc>
          <w:tcPr>
            <w:tcW w:w="149" w:type="dxa"/>
            <w:tcBorders/>
            <w:vAlign w:val="center"/>
          </w:tcPr>
          <w:p>
            <w:pPr>
              <w:pStyle w:val="TableContents"/>
              <w:bidi w:val="0"/>
              <w:spacing w:before="0" w:after="283"/>
              <w:ind w:left="0" w:right="0" w:hanging="180"/>
              <w:jc w:val="left"/>
              <w:rPr/>
            </w:pPr>
            <w:r>
              <w:rPr/>
              <w:t> </w:t>
            </w:r>
          </w:p>
        </w:tc>
      </w:tr>
      <w:tr>
        <w:trPr/>
        <w:tc>
          <w:tcPr>
            <w:tcW w:w="7098"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Ordinary shares, $0.0001 par value, 4,125,000,000 shares authorized; 38,978,780 shares and 341,247 shares issued and outstanding as of December 31, 2025 and 2024, respectively: *</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0"/>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0"/>
              <w:jc w:val="right"/>
              <w:rPr/>
            </w:pPr>
            <w:r>
              <w:rPr/>
              <w:t> </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70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Class A ordinary share, $0.0001 par value, 4,110,000,000 shares authorized; 38,907,905 shares and 270,372 shares issued and outstanding as of December 31, 2025 and 2024, respectively</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3,890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w:t>
            </w:r>
          </w:p>
        </w:tc>
        <w:tc>
          <w:tcPr>
            <w:tcW w:w="149" w:type="dxa"/>
            <w:tcBorders/>
            <w:vAlign w:val="center"/>
          </w:tcPr>
          <w:p>
            <w:pPr>
              <w:pStyle w:val="TableContents"/>
              <w:bidi w:val="0"/>
              <w:spacing w:before="0" w:after="283"/>
              <w:ind w:left="0" w:right="0" w:hanging="180"/>
              <w:jc w:val="left"/>
              <w:rPr/>
            </w:pPr>
            <w:r>
              <w:rPr/>
              <w:t> </w:t>
            </w:r>
          </w:p>
        </w:tc>
      </w:tr>
      <w:tr>
        <w:trPr/>
        <w:tc>
          <w:tcPr>
            <w:tcW w:w="7098"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Class B ordinary share, $0.0001 par value, 15,000,000 shares authorized; 70,875 shares issued and outstanding as of December 31, 2025 and 2024, respectively</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70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Additional paid-in capital</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54,658,128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17,751,857</w:t>
            </w:r>
          </w:p>
        </w:tc>
        <w:tc>
          <w:tcPr>
            <w:tcW w:w="149" w:type="dxa"/>
            <w:tcBorders/>
            <w:vAlign w:val="center"/>
          </w:tcPr>
          <w:p>
            <w:pPr>
              <w:pStyle w:val="TableContents"/>
              <w:bidi w:val="0"/>
              <w:spacing w:before="0" w:after="283"/>
              <w:ind w:left="0" w:right="0" w:hanging="180"/>
              <w:jc w:val="left"/>
              <w:rPr/>
            </w:pPr>
            <w:r>
              <w:rPr/>
              <w:t> </w:t>
            </w:r>
          </w:p>
        </w:tc>
      </w:tr>
      <w:tr>
        <w:trPr/>
        <w:tc>
          <w:tcPr>
            <w:tcW w:w="7098"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Statutory reserve</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740,816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661,924</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70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Retained earnings</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499,986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391,338</w:t>
            </w:r>
          </w:p>
        </w:tc>
        <w:tc>
          <w:tcPr>
            <w:tcW w:w="149" w:type="dxa"/>
            <w:tcBorders/>
            <w:vAlign w:val="center"/>
          </w:tcPr>
          <w:p>
            <w:pPr>
              <w:pStyle w:val="TableContents"/>
              <w:bidi w:val="0"/>
              <w:spacing w:before="0" w:after="283"/>
              <w:ind w:left="0" w:right="0" w:hanging="180"/>
              <w:jc w:val="left"/>
              <w:rPr/>
            </w:pPr>
            <w:r>
              <w:rPr/>
              <w:t> </w:t>
            </w:r>
          </w:p>
        </w:tc>
      </w:tr>
      <w:tr>
        <w:trPr/>
        <w:tc>
          <w:tcPr>
            <w:tcW w:w="7098"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Accumulated other comprehensive income (loss)</w:t>
            </w:r>
          </w:p>
        </w:tc>
        <w:tc>
          <w:tcPr>
            <w:tcW w:w="9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308,105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(379,707</w:t>
            </w:r>
          </w:p>
        </w:tc>
        <w:tc>
          <w:tcPr>
            <w:tcW w:w="149"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7098"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TOTAL SHAREHOLDERS’ EQUITY</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56,210,932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18,425,446</w:t>
            </w:r>
          </w:p>
        </w:tc>
        <w:tc>
          <w:tcPr>
            <w:tcW w:w="149" w:type="dxa"/>
            <w:tcBorders/>
            <w:vAlign w:val="center"/>
          </w:tcPr>
          <w:p>
            <w:pPr>
              <w:pStyle w:val="TableContents"/>
              <w:bidi w:val="0"/>
              <w:spacing w:before="0" w:after="283"/>
              <w:ind w:left="0" w:right="0" w:hanging="180"/>
              <w:jc w:val="left"/>
              <w:rPr/>
            </w:pPr>
            <w:r>
              <w:rPr/>
              <w:t> </w:t>
            </w:r>
          </w:p>
        </w:tc>
      </w:tr>
      <w:tr>
        <w:trPr/>
        <w:tc>
          <w:tcPr>
            <w:tcW w:w="7098"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 </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7098"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TOTAL LIABILITIES AND SHAREHOLDERS’ EQUITY</w:t>
            </w:r>
          </w:p>
        </w:tc>
        <w:tc>
          <w:tcPr>
            <w:tcW w:w="90" w:type="dxa"/>
            <w:tcBorders/>
            <w:vAlign w:val="center"/>
          </w:tcPr>
          <w:p>
            <w:pPr>
              <w:pStyle w:val="TableContents"/>
              <w:bidi w:val="0"/>
              <w:spacing w:before="0" w:after="283"/>
              <w:jc w:val="left"/>
              <w:rPr/>
            </w:pPr>
            <w:r>
              <w:rPr/>
              <w:t> </w:t>
            </w:r>
          </w:p>
        </w:tc>
        <w:tc>
          <w:tcPr>
            <w:tcW w:w="175"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69"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81,985,791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69"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41,775,834</w:t>
            </w:r>
          </w:p>
        </w:tc>
        <w:tc>
          <w:tcPr>
            <w:tcW w:w="149"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20" w:type="dxa"/>
            <w:tcBorders/>
            <w:vAlign w:val="center"/>
          </w:tcPr>
          <w:p>
            <w:pPr>
              <w:pStyle w:val="TableContents"/>
              <w:bidi w:val="0"/>
              <w:spacing w:before="0" w:after="283"/>
              <w:jc w:val="both"/>
              <w:rPr/>
            </w:pPr>
            <w:r>
              <w:rPr/>
              <w:t>Retrospectively restated for effect of the Reverse Share Split on August 18, 2025 and the Share Capital Reduction and Reorganization on March 13, 2026 (see Note 14)</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0" w:name="F_003"/>
      <w:bookmarkEnd w:id="40"/>
      <w:r>
        <w:rPr>
          <w:rFonts w:ascii="Times New Roman;Times;Serif" w:hAnsi="Times New Roman;Times;Serif"/>
          <w:b/>
          <w:i w:val="false"/>
          <w:caps w:val="false"/>
          <w:smallCaps w:val="false"/>
          <w:sz w:val="20"/>
        </w:rPr>
        <w:t xml:space="preserve">CHANSON INTERNATIONAL HOLDING AND SUBSIDIARIES </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i w:val="false"/>
          <w:caps w:val="false"/>
          <w:smallCaps w:val="false"/>
          <w:sz w:val="20"/>
        </w:rPr>
        <w:t xml:space="preserve">CONSOLIDATED STATEMENTS OF OPERATIONS AND COMPREHENSIVE INCOME (LOSS) </w:t>
      </w:r>
    </w:p>
    <w:p>
      <w:pPr>
        <w:pStyle w:val="TextBody"/>
        <w:bidi w:val="0"/>
        <w:jc w:val="left"/>
        <w:rPr>
          <w:caps w:val="false"/>
          <w:smallCaps w:val="false"/>
        </w:rPr>
      </w:pPr>
      <w:r>
        <w:rPr>
          <w:caps w:val="false"/>
          <w:smallCaps w:val="false"/>
        </w:rPr>
        <w:t> </w:t>
      </w:r>
    </w:p>
    <w:tbl>
      <w:tblPr>
        <w:tblW w:w="9650" w:type="dxa"/>
        <w:jc w:val="left"/>
        <w:tblInd w:w="0" w:type="dxa"/>
        <w:tblLayout w:type="fixed"/>
        <w:tblCellMar>
          <w:top w:w="0" w:type="dxa"/>
          <w:left w:w="0" w:type="dxa"/>
          <w:bottom w:w="0" w:type="dxa"/>
          <w:right w:w="0" w:type="dxa"/>
        </w:tblCellMar>
      </w:tblPr>
      <w:tblGrid>
        <w:gridCol w:w="5060"/>
        <w:gridCol w:w="90"/>
        <w:gridCol w:w="170"/>
        <w:gridCol w:w="1130"/>
        <w:gridCol w:w="125"/>
        <w:gridCol w:w="90"/>
        <w:gridCol w:w="170"/>
        <w:gridCol w:w="1130"/>
        <w:gridCol w:w="125"/>
        <w:gridCol w:w="90"/>
        <w:gridCol w:w="170"/>
        <w:gridCol w:w="1130"/>
        <w:gridCol w:w="170"/>
      </w:tblGrid>
      <w:tr>
        <w:trPr/>
        <w:tc>
          <w:tcPr>
            <w:tcW w:w="50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30"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Years Ended December 31,</w:t>
            </w:r>
          </w:p>
        </w:tc>
        <w:tc>
          <w:tcPr>
            <w:tcW w:w="170" w:type="dxa"/>
            <w:tcBorders/>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170" w:type="dxa"/>
            <w:tcBorders/>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18,268,894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18,227,537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17,252,662</w:t>
            </w:r>
          </w:p>
        </w:tc>
        <w:tc>
          <w:tcPr>
            <w:tcW w:w="170"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10,050,891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11,033,219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9,105,337</w:t>
            </w:r>
          </w:p>
        </w:tc>
        <w:tc>
          <w:tcPr>
            <w:tcW w:w="170"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PROFIT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8,218,003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7,194,318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8,147,325</w:t>
            </w:r>
          </w:p>
        </w:tc>
        <w:tc>
          <w:tcPr>
            <w:tcW w:w="170"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OPERATING EXPENSES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Selling expenses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6,261,580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4,757,279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4,882,958</w:t>
            </w:r>
          </w:p>
        </w:tc>
        <w:tc>
          <w:tcPr>
            <w:tcW w:w="170"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 expenses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3,843,548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2,966,659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3,874,868</w:t>
            </w:r>
          </w:p>
        </w:tc>
        <w:tc>
          <w:tcPr>
            <w:tcW w:w="170"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expenses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10,105,128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7,723,938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8,757,826</w:t>
            </w:r>
          </w:p>
        </w:tc>
        <w:tc>
          <w:tcPr>
            <w:tcW w:w="170"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LOSS FROM OPERATIONS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(1,887,125</w:t>
            </w:r>
          </w:p>
        </w:tc>
        <w:tc>
          <w:tcPr>
            <w:tcW w:w="12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(529,620</w:t>
            </w:r>
          </w:p>
        </w:tc>
        <w:tc>
          <w:tcPr>
            <w:tcW w:w="12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(610,501</w:t>
            </w:r>
          </w:p>
        </w:tc>
        <w:tc>
          <w:tcPr>
            <w:tcW w:w="17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50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OTHER (EXPENSE) INCOME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 income, net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(188,327</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(50,928</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35,505</w:t>
            </w:r>
          </w:p>
        </w:tc>
        <w:tc>
          <w:tcPr>
            <w:tcW w:w="170"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income, net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871,967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687,492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193,425</w:t>
            </w:r>
          </w:p>
        </w:tc>
        <w:tc>
          <w:tcPr>
            <w:tcW w:w="170"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income from long term debt investments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1,465,180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723,945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534,575</w:t>
            </w:r>
          </w:p>
        </w:tc>
        <w:tc>
          <w:tcPr>
            <w:tcW w:w="170"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other income, net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2,148,820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1,360,509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763,505</w:t>
            </w:r>
          </w:p>
        </w:tc>
        <w:tc>
          <w:tcPr>
            <w:tcW w:w="170"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PROFIT BEFORE INCOME TAX EXPENSE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261,695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830,889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153,004</w:t>
            </w:r>
          </w:p>
        </w:tc>
        <w:tc>
          <w:tcPr>
            <w:tcW w:w="170"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INCOME TAX EXPENSE</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(74,155</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(74,604</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(119,416</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0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INCOME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187,540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756,285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33,588</w:t>
            </w:r>
          </w:p>
        </w:tc>
        <w:tc>
          <w:tcPr>
            <w:tcW w:w="170"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Foreign currency translation gain (loss)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687,812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(284,189</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(130,778</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06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COMPREHENSIVE INCOME (LOSS)</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3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875,352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3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472,096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3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(97,190</w:t>
            </w:r>
          </w:p>
        </w:tc>
        <w:tc>
          <w:tcPr>
            <w:tcW w:w="17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50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Earnings per ordinary share - basic and diluted</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0.23</w:t>
            </w:r>
          </w:p>
        </w:tc>
        <w:tc>
          <w:tcPr>
            <w:tcW w:w="170"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Weighted average shares - basic and diluted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5,369,346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205,296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144,217</w:t>
            </w:r>
          </w:p>
        </w:tc>
        <w:tc>
          <w:tcPr>
            <w:tcW w:w="170"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9235" w:type="dxa"/>
        <w:jc w:val="left"/>
        <w:tblInd w:w="0" w:type="dxa"/>
        <w:tblLayout w:type="fixed"/>
        <w:tblCellMar>
          <w:top w:w="0" w:type="dxa"/>
          <w:left w:w="0" w:type="dxa"/>
          <w:bottom w:w="0" w:type="dxa"/>
          <w:right w:w="0" w:type="dxa"/>
        </w:tblCellMar>
      </w:tblPr>
      <w:tblGrid>
        <w:gridCol w:w="170"/>
        <w:gridCol w:w="906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65" w:type="dxa"/>
            <w:tcBorders/>
            <w:vAlign w:val="center"/>
          </w:tcPr>
          <w:p>
            <w:pPr>
              <w:pStyle w:val="TableContents"/>
              <w:bidi w:val="0"/>
              <w:spacing w:before="0" w:after="283"/>
              <w:jc w:val="both"/>
              <w:rPr/>
            </w:pPr>
            <w:r>
              <w:rPr/>
              <w:t>Retrospectively restated for effect of the Reverse Share Split on August 18, 2025 (see Note 14)</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accompanying notes are an integral part of these consolidated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1" w:name="F_004"/>
      <w:bookmarkEnd w:id="41"/>
      <w:r>
        <w:rPr>
          <w:rFonts w:ascii="Times New Roman;Times;Serif" w:hAnsi="Times New Roman;Times;Serif"/>
          <w:b/>
          <w:i w:val="false"/>
          <w:caps w:val="false"/>
          <w:smallCaps w:val="false"/>
          <w:sz w:val="20"/>
        </w:rPr>
        <w:t xml:space="preserve">CHANSON INTERNATIONAL HOLDING AND SUBSIDIARIES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CONSOLIDATED STATEMENTS OF CHANGES IN SHAREHOLDERS’ EQUITY </w:t>
      </w:r>
    </w:p>
    <w:p>
      <w:pPr>
        <w:pStyle w:val="TextBody"/>
        <w:bidi w:val="0"/>
        <w:jc w:val="left"/>
        <w:rPr>
          <w:caps w:val="false"/>
          <w:smallCaps w:val="false"/>
        </w:rPr>
      </w:pPr>
      <w:r>
        <w:rPr>
          <w:caps w:val="false"/>
          <w:smallCaps w:val="false"/>
        </w:rPr>
        <w:t> </w:t>
      </w:r>
    </w:p>
    <w:tbl>
      <w:tblPr>
        <w:tblW w:w="13905" w:type="dxa"/>
        <w:jc w:val="left"/>
        <w:tblInd w:w="0" w:type="dxa"/>
        <w:tblLayout w:type="fixed"/>
        <w:tblCellMar>
          <w:top w:w="0" w:type="dxa"/>
          <w:left w:w="0" w:type="dxa"/>
          <w:bottom w:w="0" w:type="dxa"/>
          <w:right w:w="0" w:type="dxa"/>
        </w:tblCellMar>
      </w:tblPr>
      <w:tblGrid>
        <w:gridCol w:w="1400"/>
        <w:gridCol w:w="90"/>
        <w:gridCol w:w="90"/>
        <w:gridCol w:w="1130"/>
        <w:gridCol w:w="90"/>
        <w:gridCol w:w="90"/>
        <w:gridCol w:w="199"/>
        <w:gridCol w:w="691"/>
        <w:gridCol w:w="90"/>
        <w:gridCol w:w="90"/>
        <w:gridCol w:w="90"/>
        <w:gridCol w:w="710"/>
        <w:gridCol w:w="125"/>
        <w:gridCol w:w="90"/>
        <w:gridCol w:w="445"/>
        <w:gridCol w:w="445"/>
        <w:gridCol w:w="90"/>
        <w:gridCol w:w="90"/>
        <w:gridCol w:w="170"/>
        <w:gridCol w:w="1130"/>
        <w:gridCol w:w="125"/>
        <w:gridCol w:w="90"/>
        <w:gridCol w:w="171"/>
        <w:gridCol w:w="839"/>
        <w:gridCol w:w="90"/>
        <w:gridCol w:w="90"/>
        <w:gridCol w:w="233"/>
        <w:gridCol w:w="1242"/>
        <w:gridCol w:w="125"/>
        <w:gridCol w:w="90"/>
        <w:gridCol w:w="258"/>
        <w:gridCol w:w="1382"/>
        <w:gridCol w:w="125"/>
        <w:gridCol w:w="90"/>
        <w:gridCol w:w="192"/>
        <w:gridCol w:w="1283"/>
        <w:gridCol w:w="135"/>
      </w:tblGrid>
      <w:tr>
        <w:trPr/>
        <w:tc>
          <w:tcPr>
            <w:tcW w:w="140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4375"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Ordinary Shares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Additional</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br/>
              <w:t>Deficit)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br/>
              <w:t>Other</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135"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Class A</w:t>
              <w:b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Class B</w:t>
              <w:br/>
              <w:t>Shares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Paid-in</w:t>
              <w:br/>
              <w:t>Capital</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Statutory</w:t>
              <w:br/>
              <w:t>Reserve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Retained</w:t>
              <w:br/>
              <w:t>Earnings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Comprehensive</w:t>
              <w:br/>
              <w:t>Gain (Loss)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Shareholders’</w:t>
              <w:br/>
              <w:t>Equity</w:t>
            </w:r>
          </w:p>
        </w:tc>
        <w:tc>
          <w:tcPr>
            <w:tcW w:w="135"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14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January 1, 2023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38,250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91"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74,250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44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878,389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39"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447,231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42"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(183,842</w:t>
            </w:r>
          </w:p>
        </w:tc>
        <w:tc>
          <w:tcPr>
            <w:tcW w:w="1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382"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35,260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83"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1,177,049</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4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1242"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14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ordinary shares in initial public offerings, gross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42,376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13,559,996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382"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13,560,000</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4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directly related to the initial public offering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(2,625,503</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1242"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(2,625,503</w:t>
            </w:r>
          </w:p>
        </w:tc>
        <w:tc>
          <w:tcPr>
            <w:tcW w:w="135" w:type="dxa"/>
            <w:tcBorders/>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14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issuance for warrants exercised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382"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4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1242"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33,588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33,588</w:t>
            </w:r>
          </w:p>
        </w:tc>
        <w:tc>
          <w:tcPr>
            <w:tcW w:w="135" w:type="dxa"/>
            <w:tcBorders/>
            <w:vAlign w:val="center"/>
          </w:tcPr>
          <w:p>
            <w:pPr>
              <w:pStyle w:val="TableContents"/>
              <w:bidi w:val="0"/>
              <w:spacing w:before="0" w:after="283"/>
              <w:ind w:left="0" w:right="0" w:hanging="180"/>
              <w:jc w:val="left"/>
              <w:rPr/>
            </w:pPr>
            <w:r>
              <w:rPr/>
              <w:t> </w:t>
            </w:r>
          </w:p>
        </w:tc>
      </w:tr>
      <w:tr>
        <w:trPr/>
        <w:tc>
          <w:tcPr>
            <w:tcW w:w="14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Foreign currency translation loss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4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8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(130,778</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(130,778</w:t>
            </w:r>
          </w:p>
        </w:tc>
        <w:tc>
          <w:tcPr>
            <w:tcW w:w="135"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14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1242"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14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December 31, 2023</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81,067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91"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74,250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4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4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11,812,882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1"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447,231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3"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42"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(150,254</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258"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82"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(95,518</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92"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83"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12,014,356</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4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1242"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14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ordinary shares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112,253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5,938,983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382"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5,938,994</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4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 issuance for warrants exercised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73,677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1242"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ind w:left="0" w:right="0" w:hanging="180"/>
              <w:jc w:val="left"/>
              <w:rPr/>
            </w:pPr>
            <w:r>
              <w:rPr/>
              <w:t> </w:t>
            </w:r>
          </w:p>
        </w:tc>
      </w:tr>
      <w:tr>
        <w:trPr/>
        <w:tc>
          <w:tcPr>
            <w:tcW w:w="14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Class B ordinary shares into Class A ordinary shares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3,375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(3,375</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382"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4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1242"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756,285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756,285</w:t>
            </w:r>
          </w:p>
        </w:tc>
        <w:tc>
          <w:tcPr>
            <w:tcW w:w="135" w:type="dxa"/>
            <w:tcBorders/>
            <w:vAlign w:val="center"/>
          </w:tcPr>
          <w:p>
            <w:pPr>
              <w:pStyle w:val="TableContents"/>
              <w:bidi w:val="0"/>
              <w:spacing w:before="0" w:after="283"/>
              <w:ind w:left="0" w:right="0" w:hanging="180"/>
              <w:jc w:val="left"/>
              <w:rPr/>
            </w:pPr>
            <w:r>
              <w:rPr/>
              <w:t> </w:t>
            </w:r>
          </w:p>
        </w:tc>
      </w:tr>
      <w:tr>
        <w:trPr/>
        <w:tc>
          <w:tcPr>
            <w:tcW w:w="14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Appropriation of statutory reserve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214,693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(214,693</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382"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4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Foreign currency translation loss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bottom w:val="single" w:sz="12" w:space="0" w:color="000000"/>
            </w:tcBorders>
            <w:tcMar>
              <w:bottom w:w="28" w:type="dxa"/>
            </w:tcMar>
            <w:vAlign w:val="center"/>
          </w:tcPr>
          <w:p>
            <w:pPr>
              <w:pStyle w:val="TableContents"/>
              <w:bidi w:val="0"/>
              <w:spacing w:before="0" w:after="283"/>
              <w:jc w:val="left"/>
              <w:rPr/>
            </w:pPr>
            <w:r>
              <w:rPr/>
              <w:t> </w:t>
            </w:r>
          </w:p>
        </w:tc>
        <w:tc>
          <w:tcPr>
            <w:tcW w:w="691"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5" w:type="dxa"/>
            <w:tcBorders>
              <w:bottom w:val="single" w:sz="12" w:space="0" w:color="000000"/>
            </w:tcBorders>
            <w:tcMar>
              <w:bottom w:w="28" w:type="dxa"/>
            </w:tcMar>
            <w:vAlign w:val="center"/>
          </w:tcPr>
          <w:p>
            <w:pPr>
              <w:pStyle w:val="TableContents"/>
              <w:bidi w:val="0"/>
              <w:spacing w:before="0" w:after="283"/>
              <w:jc w:val="left"/>
              <w:rPr/>
            </w:pPr>
            <w:r>
              <w:rPr/>
              <w:t> </w:t>
            </w:r>
          </w:p>
        </w:tc>
        <w:tc>
          <w:tcPr>
            <w:tcW w:w="445"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1" w:type="dxa"/>
            <w:tcBorders>
              <w:bottom w:val="single" w:sz="12" w:space="0" w:color="000000"/>
            </w:tcBorders>
            <w:tcMar>
              <w:bottom w:w="28" w:type="dxa"/>
            </w:tcMar>
            <w:vAlign w:val="center"/>
          </w:tcPr>
          <w:p>
            <w:pPr>
              <w:pStyle w:val="TableContents"/>
              <w:bidi w:val="0"/>
              <w:spacing w:before="0" w:after="283"/>
              <w:jc w:val="left"/>
              <w:rPr/>
            </w:pPr>
            <w:r>
              <w:rPr/>
              <w:t> </w:t>
            </w:r>
          </w:p>
        </w:tc>
        <w:tc>
          <w:tcPr>
            <w:tcW w:w="839"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3" w:type="dxa"/>
            <w:tcBorders>
              <w:bottom w:val="single" w:sz="12" w:space="0" w:color="000000"/>
            </w:tcBorders>
            <w:tcMar>
              <w:bottom w:w="28" w:type="dxa"/>
            </w:tcMar>
            <w:vAlign w:val="center"/>
          </w:tcPr>
          <w:p>
            <w:pPr>
              <w:pStyle w:val="TableContents"/>
              <w:bidi w:val="0"/>
              <w:spacing w:before="0" w:after="283"/>
              <w:jc w:val="left"/>
              <w:rPr/>
            </w:pPr>
            <w:r>
              <w:rPr/>
              <w:t> </w:t>
            </w:r>
          </w:p>
        </w:tc>
        <w:tc>
          <w:tcPr>
            <w:tcW w:w="1242" w:type="dxa"/>
            <w:tcBorders>
              <w:bottom w:val="single" w:sz="12"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8" w:type="dxa"/>
            <w:tcBorders>
              <w:bottom w:val="single" w:sz="12" w:space="0" w:color="000000"/>
            </w:tcBorders>
            <w:tcMar>
              <w:bottom w:w="28" w:type="dxa"/>
            </w:tcMar>
            <w:vAlign w:val="center"/>
          </w:tcPr>
          <w:p>
            <w:pPr>
              <w:pStyle w:val="TableContents"/>
              <w:bidi w:val="0"/>
              <w:spacing w:before="0" w:after="283"/>
              <w:jc w:val="left"/>
              <w:rPr/>
            </w:pPr>
            <w:r>
              <w:rPr/>
              <w:t> </w:t>
            </w:r>
          </w:p>
        </w:tc>
        <w:tc>
          <w:tcPr>
            <w:tcW w:w="1382"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(284,189</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92" w:type="dxa"/>
            <w:tcBorders>
              <w:bottom w:val="single" w:sz="12" w:space="0" w:color="000000"/>
            </w:tcBorders>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(284,189</w:t>
            </w:r>
          </w:p>
        </w:tc>
        <w:tc>
          <w:tcPr>
            <w:tcW w:w="135" w:type="dxa"/>
            <w:tcBorders/>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140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38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40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December 31, 2024</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270,372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91"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71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70,875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5"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4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17,751,857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1"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9"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661,924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3"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42"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391,338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8"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82"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(379,707</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92"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83"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18,425,446</w:t>
            </w:r>
          </w:p>
        </w:tc>
        <w:tc>
          <w:tcPr>
            <w:tcW w:w="135" w:type="dxa"/>
            <w:tcBorders/>
            <w:vAlign w:val="center"/>
          </w:tcPr>
          <w:p>
            <w:pPr>
              <w:pStyle w:val="TableContents"/>
              <w:bidi w:val="0"/>
              <w:spacing w:before="0" w:after="283"/>
              <w:ind w:left="0" w:right="0" w:hanging="180"/>
              <w:jc w:val="left"/>
              <w:rPr/>
            </w:pPr>
            <w:r>
              <w:rPr/>
              <w:t> </w:t>
            </w:r>
          </w:p>
        </w:tc>
      </w:tr>
      <w:tr>
        <w:trPr/>
        <w:tc>
          <w:tcPr>
            <w:tcW w:w="140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38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4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the Equity Security Units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6,910,114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1242"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6,910,134</w:t>
            </w:r>
          </w:p>
        </w:tc>
        <w:tc>
          <w:tcPr>
            <w:tcW w:w="135" w:type="dxa"/>
            <w:tcBorders/>
            <w:vAlign w:val="center"/>
          </w:tcPr>
          <w:p>
            <w:pPr>
              <w:pStyle w:val="TableContents"/>
              <w:bidi w:val="0"/>
              <w:spacing w:before="0" w:after="283"/>
              <w:ind w:left="0" w:right="0" w:hanging="180"/>
              <w:jc w:val="left"/>
              <w:rPr/>
            </w:pPr>
            <w:r>
              <w:rPr/>
              <w:t> </w:t>
            </w:r>
          </w:p>
        </w:tc>
      </w:tr>
      <w:tr>
        <w:trPr/>
        <w:tc>
          <w:tcPr>
            <w:tcW w:w="14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 issuance for warrants exercised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937,500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382"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4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ordinary 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37,500,000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29,996,250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1242"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30,000,000</w:t>
            </w:r>
          </w:p>
        </w:tc>
        <w:tc>
          <w:tcPr>
            <w:tcW w:w="135" w:type="dxa"/>
            <w:tcBorders/>
            <w:vAlign w:val="center"/>
          </w:tcPr>
          <w:p>
            <w:pPr>
              <w:pStyle w:val="TableContents"/>
              <w:bidi w:val="0"/>
              <w:spacing w:before="0" w:after="283"/>
              <w:ind w:left="0" w:right="0" w:hanging="180"/>
              <w:jc w:val="left"/>
              <w:rPr/>
            </w:pPr>
            <w:r>
              <w:rPr/>
              <w:t> </w:t>
            </w:r>
          </w:p>
        </w:tc>
      </w:tr>
      <w:tr>
        <w:trPr/>
        <w:tc>
          <w:tcPr>
            <w:tcW w:w="14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 of rounding fractional shares into whole shares upon the reverse split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382"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4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1242"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187,540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187,540</w:t>
            </w:r>
          </w:p>
        </w:tc>
        <w:tc>
          <w:tcPr>
            <w:tcW w:w="135" w:type="dxa"/>
            <w:tcBorders/>
            <w:vAlign w:val="center"/>
          </w:tcPr>
          <w:p>
            <w:pPr>
              <w:pStyle w:val="TableContents"/>
              <w:bidi w:val="0"/>
              <w:spacing w:before="0" w:after="283"/>
              <w:ind w:left="0" w:right="0" w:hanging="180"/>
              <w:jc w:val="left"/>
              <w:rPr/>
            </w:pPr>
            <w:r>
              <w:rPr/>
              <w:t> </w:t>
            </w:r>
          </w:p>
        </w:tc>
      </w:tr>
      <w:tr>
        <w:trPr/>
        <w:tc>
          <w:tcPr>
            <w:tcW w:w="14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Appropriation of statutory reserve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78,892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(78,892</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382"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4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Foreign currency translation gain</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bottom w:val="single" w:sz="12" w:space="0" w:color="000000"/>
            </w:tcBorders>
            <w:tcMar>
              <w:bottom w:w="28" w:type="dxa"/>
            </w:tcMar>
            <w:vAlign w:val="center"/>
          </w:tcPr>
          <w:p>
            <w:pPr>
              <w:pStyle w:val="TableContents"/>
              <w:bidi w:val="0"/>
              <w:spacing w:before="0" w:after="283"/>
              <w:jc w:val="left"/>
              <w:rPr/>
            </w:pPr>
            <w:r>
              <w:rPr/>
              <w:t> </w:t>
            </w:r>
          </w:p>
        </w:tc>
        <w:tc>
          <w:tcPr>
            <w:tcW w:w="691"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5" w:type="dxa"/>
            <w:tcBorders>
              <w:bottom w:val="single" w:sz="12" w:space="0" w:color="000000"/>
            </w:tcBorders>
            <w:tcMar>
              <w:bottom w:w="28" w:type="dxa"/>
            </w:tcMar>
            <w:vAlign w:val="center"/>
          </w:tcPr>
          <w:p>
            <w:pPr>
              <w:pStyle w:val="TableContents"/>
              <w:bidi w:val="0"/>
              <w:spacing w:before="0" w:after="283"/>
              <w:jc w:val="left"/>
              <w:rPr/>
            </w:pPr>
            <w:r>
              <w:rPr/>
              <w:t> </w:t>
            </w:r>
          </w:p>
        </w:tc>
        <w:tc>
          <w:tcPr>
            <w:tcW w:w="445"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1" w:type="dxa"/>
            <w:tcBorders>
              <w:bottom w:val="single" w:sz="12" w:space="0" w:color="000000"/>
            </w:tcBorders>
            <w:tcMar>
              <w:bottom w:w="28" w:type="dxa"/>
            </w:tcMar>
            <w:vAlign w:val="center"/>
          </w:tcPr>
          <w:p>
            <w:pPr>
              <w:pStyle w:val="TableContents"/>
              <w:bidi w:val="0"/>
              <w:spacing w:before="0" w:after="283"/>
              <w:jc w:val="left"/>
              <w:rPr/>
            </w:pPr>
            <w:r>
              <w:rPr/>
              <w:t> </w:t>
            </w:r>
          </w:p>
        </w:tc>
        <w:tc>
          <w:tcPr>
            <w:tcW w:w="839"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3" w:type="dxa"/>
            <w:tcBorders>
              <w:bottom w:val="single" w:sz="12" w:space="0" w:color="000000"/>
            </w:tcBorders>
            <w:tcMar>
              <w:bottom w:w="28" w:type="dxa"/>
            </w:tcMar>
            <w:vAlign w:val="center"/>
          </w:tcPr>
          <w:p>
            <w:pPr>
              <w:pStyle w:val="TableContents"/>
              <w:bidi w:val="0"/>
              <w:spacing w:before="0" w:after="283"/>
              <w:jc w:val="left"/>
              <w:rPr/>
            </w:pPr>
            <w:r>
              <w:rPr/>
              <w:t> </w:t>
            </w:r>
          </w:p>
        </w:tc>
        <w:tc>
          <w:tcPr>
            <w:tcW w:w="1242" w:type="dxa"/>
            <w:tcBorders>
              <w:bottom w:val="single" w:sz="12"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8" w:type="dxa"/>
            <w:tcBorders>
              <w:bottom w:val="single" w:sz="12" w:space="0" w:color="000000"/>
            </w:tcBorders>
            <w:tcMar>
              <w:bottom w:w="28" w:type="dxa"/>
            </w:tcMar>
            <w:vAlign w:val="center"/>
          </w:tcPr>
          <w:p>
            <w:pPr>
              <w:pStyle w:val="TableContents"/>
              <w:bidi w:val="0"/>
              <w:spacing w:before="0" w:after="283"/>
              <w:jc w:val="left"/>
              <w:rPr/>
            </w:pPr>
            <w:r>
              <w:rPr/>
              <w:t> </w:t>
            </w:r>
          </w:p>
        </w:tc>
        <w:tc>
          <w:tcPr>
            <w:tcW w:w="1382"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687,812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bottom w:val="single" w:sz="12" w:space="0" w:color="000000"/>
            </w:tcBorders>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687,812</w:t>
            </w:r>
          </w:p>
        </w:tc>
        <w:tc>
          <w:tcPr>
            <w:tcW w:w="135" w:type="dxa"/>
            <w:tcBorders/>
            <w:vAlign w:val="center"/>
          </w:tcPr>
          <w:p>
            <w:pPr>
              <w:pStyle w:val="TableContents"/>
              <w:bidi w:val="0"/>
              <w:spacing w:before="0" w:after="283"/>
              <w:ind w:left="0" w:right="0" w:hanging="180"/>
              <w:jc w:val="left"/>
              <w:rPr/>
            </w:pPr>
            <w:r>
              <w:rPr/>
              <w:t> </w:t>
            </w:r>
          </w:p>
        </w:tc>
      </w:tr>
      <w:tr>
        <w:trPr/>
        <w:tc>
          <w:tcPr>
            <w:tcW w:w="140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38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40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December 31, 2025</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38,907,905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91"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3,890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71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70,875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5"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4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54,658,128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1"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9"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740,816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3"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42"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499,986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8"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82"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308,105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83"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56,210,932</w:t>
            </w:r>
          </w:p>
        </w:tc>
        <w:tc>
          <w:tcPr>
            <w:tcW w:w="13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35" w:type="dxa"/>
            <w:tcBorders/>
            <w:vAlign w:val="center"/>
          </w:tcPr>
          <w:p>
            <w:pPr>
              <w:pStyle w:val="TableContents"/>
              <w:bidi w:val="0"/>
              <w:spacing w:before="0" w:after="283"/>
              <w:jc w:val="both"/>
              <w:rPr/>
            </w:pPr>
            <w:r>
              <w:rPr/>
              <w:t>Retrospectively restated for effect of the Reverse Share Split on August 18, 2025 and the Share Capital Reduction and Reorganization on March 13, 2026 (see Note 14)</w:t>
            </w:r>
          </w:p>
        </w:tc>
      </w:tr>
    </w:tbl>
    <w:tbl>
      <w:tblPr>
        <w:tblW w:w="5470" w:type="dxa"/>
        <w:jc w:val="left"/>
        <w:tblInd w:w="0" w:type="dxa"/>
        <w:tblLayout w:type="fixed"/>
        <w:tblCellMar>
          <w:top w:w="0" w:type="dxa"/>
          <w:left w:w="0" w:type="dxa"/>
          <w:bottom w:w="0" w:type="dxa"/>
          <w:right w:w="0" w:type="dxa"/>
        </w:tblCellMar>
      </w:tblPr>
      <w:tblGrid>
        <w:gridCol w:w="155"/>
        <w:gridCol w:w="5315"/>
      </w:tblGrid>
      <w:tr>
        <w:trPr/>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3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Equity Security Units issued on June 13, 2025 (see Note 14)</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2" w:name="F_005"/>
      <w:bookmarkEnd w:id="42"/>
      <w:r>
        <w:rPr>
          <w:rFonts w:ascii="Times New Roman;Times;Serif" w:hAnsi="Times New Roman;Times;Serif"/>
          <w:b/>
          <w:i w:val="false"/>
          <w:caps w:val="false"/>
          <w:smallCaps w:val="false"/>
          <w:sz w:val="20"/>
        </w:rPr>
        <w:t xml:space="preserve">CHANSON INTERNATIONAL HOLDING AND SUBSIDIARIES </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i w:val="false"/>
          <w:caps w:val="false"/>
          <w:smallCaps w:val="false"/>
          <w:sz w:val="20"/>
        </w:rPr>
        <w:t>CONSOLIDATED STATEMENTS OF CASH FLOWS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87"/>
        <w:gridCol w:w="90"/>
        <w:gridCol w:w="170"/>
        <w:gridCol w:w="1205"/>
        <w:gridCol w:w="125"/>
        <w:gridCol w:w="90"/>
        <w:gridCol w:w="170"/>
        <w:gridCol w:w="1130"/>
        <w:gridCol w:w="125"/>
        <w:gridCol w:w="90"/>
        <w:gridCol w:w="170"/>
        <w:gridCol w:w="1205"/>
        <w:gridCol w:w="148"/>
      </w:tblGrid>
      <w:tr>
        <w:trPr/>
        <w:tc>
          <w:tcPr>
            <w:tcW w:w="5487"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4480"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Years Ended December 31,</w:t>
            </w:r>
          </w:p>
        </w:tc>
        <w:tc>
          <w:tcPr>
            <w:tcW w:w="148" w:type="dxa"/>
            <w:tcBorders/>
            <w:vAlign w:val="center"/>
          </w:tcPr>
          <w:p>
            <w:pPr>
              <w:pStyle w:val="TableContents"/>
              <w:bidi w:val="0"/>
              <w:spacing w:before="0" w:after="283"/>
              <w:ind w:left="0" w:right="0" w:hanging="180"/>
              <w:jc w:val="left"/>
              <w:rPr/>
            </w:pPr>
            <w:r>
              <w:rPr/>
              <w:t> </w:t>
            </w:r>
          </w:p>
        </w:tc>
      </w:tr>
      <w:tr>
        <w:trPr/>
        <w:tc>
          <w:tcPr>
            <w:tcW w:w="5487"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148" w:type="dxa"/>
            <w:tcBorders/>
            <w:vAlign w:val="center"/>
          </w:tcPr>
          <w:p>
            <w:pPr>
              <w:pStyle w:val="TableContents"/>
              <w:bidi w:val="0"/>
              <w:spacing w:before="0" w:after="283"/>
              <w:ind w:left="0" w:right="0" w:hanging="180"/>
              <w:jc w:val="left"/>
              <w:rPr/>
            </w:pPr>
            <w:r>
              <w:rPr/>
              <w:t> </w:t>
            </w:r>
          </w:p>
        </w:tc>
      </w:tr>
      <w:tr>
        <w:trPr/>
        <w:tc>
          <w:tcPr>
            <w:tcW w:w="5487"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operating activities:</w:t>
            </w:r>
          </w:p>
        </w:tc>
        <w:tc>
          <w:tcPr>
            <w:tcW w:w="9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center"/>
              <w:rPr/>
            </w:pPr>
            <w:r>
              <w:rPr/>
              <w:t> </w:t>
            </w:r>
          </w:p>
        </w:tc>
        <w:tc>
          <w:tcPr>
            <w:tcW w:w="148" w:type="dxa"/>
            <w:tcBorders/>
            <w:vAlign w:val="center"/>
          </w:tcPr>
          <w:p>
            <w:pPr>
              <w:pStyle w:val="TableContents"/>
              <w:bidi w:val="0"/>
              <w:spacing w:before="0" w:after="283"/>
              <w:ind w:left="0" w:right="0" w:hanging="180"/>
              <w:jc w:val="left"/>
              <w:rPr/>
            </w:pPr>
            <w:r>
              <w:rPr/>
              <w:t> </w:t>
            </w:r>
          </w:p>
        </w:tc>
      </w:tr>
      <w:tr>
        <w:trPr/>
        <w:tc>
          <w:tcPr>
            <w:tcW w:w="5487"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income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187,540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756,285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33,588</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5487"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Adjustments to reconcile net income to net cash provided by (used in) operating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48" w:type="dxa"/>
            <w:tcBorders/>
            <w:vAlign w:val="center"/>
          </w:tcPr>
          <w:p>
            <w:pPr>
              <w:pStyle w:val="TableContents"/>
              <w:bidi w:val="0"/>
              <w:spacing w:before="0" w:after="283"/>
              <w:ind w:left="0" w:right="0" w:hanging="180"/>
              <w:jc w:val="left"/>
              <w:rPr/>
            </w:pPr>
            <w:r>
              <w:rPr/>
              <w:t> </w:t>
            </w:r>
          </w:p>
        </w:tc>
      </w:tr>
      <w:tr>
        <w:trPr/>
        <w:tc>
          <w:tcPr>
            <w:tcW w:w="54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of operating lease right-of-use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1,872,139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2,639,094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2,628,985</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548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889,722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823,869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831,820</w:t>
            </w:r>
          </w:p>
        </w:tc>
        <w:tc>
          <w:tcPr>
            <w:tcW w:w="148" w:type="dxa"/>
            <w:tcBorders/>
            <w:vAlign w:val="center"/>
          </w:tcPr>
          <w:p>
            <w:pPr>
              <w:pStyle w:val="TableContents"/>
              <w:bidi w:val="0"/>
              <w:spacing w:before="0" w:after="283"/>
              <w:ind w:left="0" w:right="0" w:hanging="180"/>
              <w:jc w:val="left"/>
              <w:rPr/>
            </w:pPr>
            <w:r>
              <w:rPr/>
              <w:t> </w:t>
            </w:r>
          </w:p>
        </w:tc>
      </w:tr>
      <w:tr>
        <w:trPr/>
        <w:tc>
          <w:tcPr>
            <w:tcW w:w="54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Write off of bad debts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548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(gain) on disposal of property and equipment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78,845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(152,517</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4,982</w:t>
            </w:r>
          </w:p>
        </w:tc>
        <w:tc>
          <w:tcPr>
            <w:tcW w:w="148" w:type="dxa"/>
            <w:tcBorders/>
            <w:vAlign w:val="center"/>
          </w:tcPr>
          <w:p>
            <w:pPr>
              <w:pStyle w:val="TableContents"/>
              <w:bidi w:val="0"/>
              <w:spacing w:before="0" w:after="283"/>
              <w:ind w:left="0" w:right="0" w:hanging="180"/>
              <w:jc w:val="left"/>
              <w:rPr/>
            </w:pPr>
            <w:r>
              <w:rPr/>
              <w:t> </w:t>
            </w:r>
          </w:p>
        </w:tc>
      </w:tr>
      <w:tr>
        <w:trPr/>
        <w:tc>
          <w:tcPr>
            <w:tcW w:w="54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Impairment loss on property and equipment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272,350</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548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interest income from long term debt investment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(1,465,180</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(723,945</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(534,575</w:t>
            </w:r>
          </w:p>
        </w:tc>
        <w:tc>
          <w:tcPr>
            <w:tcW w:w="148" w:type="dxa"/>
            <w:tcBorders/>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54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income from loan to a third-party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(90,986</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(66,822</w:t>
            </w:r>
          </w:p>
        </w:tc>
        <w:tc>
          <w:tcPr>
            <w:tcW w:w="148"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5487"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Changes in operating assets and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48" w:type="dxa"/>
            <w:tcBorders/>
            <w:vAlign w:val="center"/>
          </w:tcPr>
          <w:p>
            <w:pPr>
              <w:pStyle w:val="TableContents"/>
              <w:bidi w:val="0"/>
              <w:spacing w:before="0" w:after="283"/>
              <w:ind w:left="0" w:right="0" w:hanging="180"/>
              <w:jc w:val="left"/>
              <w:rPr/>
            </w:pPr>
            <w:r>
              <w:rPr/>
              <w:t> </w:t>
            </w:r>
          </w:p>
        </w:tc>
      </w:tr>
      <w:tr>
        <w:trPr/>
        <w:tc>
          <w:tcPr>
            <w:tcW w:w="54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(686,449</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959,859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(766,760</w:t>
            </w:r>
          </w:p>
        </w:tc>
        <w:tc>
          <w:tcPr>
            <w:tcW w:w="148"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548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Inventories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(62,191</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(32,001</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(45,821</w:t>
            </w:r>
          </w:p>
        </w:tc>
        <w:tc>
          <w:tcPr>
            <w:tcW w:w="148" w:type="dxa"/>
            <w:tcBorders/>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54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1,665,322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2,552,891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(3,573,002</w:t>
            </w:r>
          </w:p>
        </w:tc>
        <w:tc>
          <w:tcPr>
            <w:tcW w:w="148"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548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Long term security deposits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184,296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(58,209</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57,185</w:t>
            </w:r>
          </w:p>
        </w:tc>
        <w:tc>
          <w:tcPr>
            <w:tcW w:w="148" w:type="dxa"/>
            <w:tcBorders/>
            <w:vAlign w:val="center"/>
          </w:tcPr>
          <w:p>
            <w:pPr>
              <w:pStyle w:val="TableContents"/>
              <w:bidi w:val="0"/>
              <w:spacing w:before="0" w:after="283"/>
              <w:ind w:left="0" w:right="0" w:hanging="180"/>
              <w:jc w:val="left"/>
              <w:rPr/>
            </w:pPr>
            <w:r>
              <w:rPr/>
              <w:t> </w:t>
            </w:r>
          </w:p>
        </w:tc>
      </w:tr>
      <w:tr>
        <w:trPr/>
        <w:tc>
          <w:tcPr>
            <w:tcW w:w="54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Long term prepaid expenses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31,637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(180,281</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(34,010</w:t>
            </w:r>
          </w:p>
        </w:tc>
        <w:tc>
          <w:tcPr>
            <w:tcW w:w="148"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548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1,235,783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265,315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530,195</w:t>
            </w:r>
          </w:p>
        </w:tc>
        <w:tc>
          <w:tcPr>
            <w:tcW w:w="148" w:type="dxa"/>
            <w:tcBorders/>
            <w:vAlign w:val="center"/>
          </w:tcPr>
          <w:p>
            <w:pPr>
              <w:pStyle w:val="TableContents"/>
              <w:bidi w:val="0"/>
              <w:spacing w:before="0" w:after="283"/>
              <w:ind w:left="0" w:right="0" w:hanging="180"/>
              <w:jc w:val="left"/>
              <w:rPr/>
            </w:pPr>
            <w:r>
              <w:rPr/>
              <w:t> </w:t>
            </w:r>
          </w:p>
        </w:tc>
      </w:tr>
      <w:tr>
        <w:trPr/>
        <w:tc>
          <w:tcPr>
            <w:tcW w:w="54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Taxes payable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198,040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(46,790</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(31,943</w:t>
            </w:r>
          </w:p>
        </w:tc>
        <w:tc>
          <w:tcPr>
            <w:tcW w:w="148"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548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665,495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(179,643</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307,169</w:t>
            </w:r>
          </w:p>
        </w:tc>
        <w:tc>
          <w:tcPr>
            <w:tcW w:w="148" w:type="dxa"/>
            <w:tcBorders/>
            <w:vAlign w:val="center"/>
          </w:tcPr>
          <w:p>
            <w:pPr>
              <w:pStyle w:val="TableContents"/>
              <w:bidi w:val="0"/>
              <w:spacing w:before="0" w:after="283"/>
              <w:ind w:left="0" w:right="0" w:hanging="180"/>
              <w:jc w:val="left"/>
              <w:rPr/>
            </w:pPr>
            <w:r>
              <w:rPr/>
              <w:t> </w:t>
            </w:r>
          </w:p>
        </w:tc>
      </w:tr>
      <w:tr>
        <w:trPr/>
        <w:tc>
          <w:tcPr>
            <w:tcW w:w="54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current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135,994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(25,902</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(292,138</w:t>
            </w:r>
          </w:p>
        </w:tc>
        <w:tc>
          <w:tcPr>
            <w:tcW w:w="148"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548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liabilities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(2,566,126</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(2,969,001</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(2,275,056</w:t>
            </w:r>
          </w:p>
        </w:tc>
        <w:tc>
          <w:tcPr>
            <w:tcW w:w="148" w:type="dxa"/>
            <w:tcBorders/>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5487"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provided by (used in) operating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2,864,867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3,538,038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(2,953,853</w:t>
            </w:r>
          </w:p>
        </w:tc>
        <w:tc>
          <w:tcPr>
            <w:tcW w:w="148" w:type="dxa"/>
            <w:tcBorders/>
            <w:shd w:fill="CCEEFF" w:val="clear"/>
            <w:vAlign w:val="center"/>
          </w:tcPr>
          <w:p>
            <w:pPr>
              <w:pStyle w:val="TableContents"/>
              <w:bidi w:val="0"/>
              <w:spacing w:before="0" w:after="283"/>
              <w:ind w:left="0" w:right="0" w:hanging="180"/>
              <w:jc w:val="left"/>
              <w:rPr>
                <w:rFonts w:ascii="Times New Roman;Times;Serif" w:hAnsi="Times New Roman;Times;Serif"/>
                <w:b/>
              </w:rPr>
            </w:pPr>
            <w:r>
              <w:rPr>
                <w:rFonts w:ascii="Times New Roman;Times;Serif" w:hAnsi="Times New Roman;Times;Serif"/>
                <w:b/>
              </w:rPr>
              <w:t>)</w:t>
            </w:r>
          </w:p>
        </w:tc>
      </w:tr>
      <w:tr>
        <w:trPr/>
        <w:tc>
          <w:tcPr>
            <w:tcW w:w="5487"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48" w:type="dxa"/>
            <w:tcBorders/>
            <w:vAlign w:val="center"/>
          </w:tcPr>
          <w:p>
            <w:pPr>
              <w:pStyle w:val="TableContents"/>
              <w:bidi w:val="0"/>
              <w:spacing w:before="0" w:after="283"/>
              <w:ind w:left="0" w:right="0" w:hanging="180"/>
              <w:jc w:val="left"/>
              <w:rPr/>
            </w:pPr>
            <w:r>
              <w:rPr/>
              <w:t> </w:t>
            </w:r>
          </w:p>
        </w:tc>
      </w:tr>
      <w:tr>
        <w:trPr/>
        <w:tc>
          <w:tcPr>
            <w:tcW w:w="5487"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investing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548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property and equipment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(2,396,274</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(583,313</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(773,964</w:t>
            </w:r>
          </w:p>
        </w:tc>
        <w:tc>
          <w:tcPr>
            <w:tcW w:w="148" w:type="dxa"/>
            <w:tcBorders/>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54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intangible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(150,000</w:t>
            </w:r>
          </w:p>
        </w:tc>
        <w:tc>
          <w:tcPr>
            <w:tcW w:w="148"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548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disposal of property and equipment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35,562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444</w:t>
            </w:r>
          </w:p>
        </w:tc>
        <w:tc>
          <w:tcPr>
            <w:tcW w:w="148" w:type="dxa"/>
            <w:tcBorders/>
            <w:vAlign w:val="center"/>
          </w:tcPr>
          <w:p>
            <w:pPr>
              <w:pStyle w:val="TableContents"/>
              <w:bidi w:val="0"/>
              <w:spacing w:before="0" w:after="283"/>
              <w:ind w:left="0" w:right="0" w:hanging="180"/>
              <w:jc w:val="left"/>
              <w:rPr/>
            </w:pPr>
            <w:r>
              <w:rPr/>
              <w:t> </w:t>
            </w:r>
          </w:p>
        </w:tc>
      </w:tr>
      <w:tr>
        <w:trPr/>
        <w:tc>
          <w:tcPr>
            <w:tcW w:w="54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 made for long term debt investments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(46,126,988</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(6,000,000</w:t>
            </w:r>
          </w:p>
        </w:tc>
        <w:tc>
          <w:tcPr>
            <w:tcW w:w="148"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548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income received from long term debt investment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1,203,810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899,507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w:t>
            </w:r>
          </w:p>
        </w:tc>
        <w:tc>
          <w:tcPr>
            <w:tcW w:w="148" w:type="dxa"/>
            <w:tcBorders/>
            <w:vAlign w:val="center"/>
          </w:tcPr>
          <w:p>
            <w:pPr>
              <w:pStyle w:val="TableContents"/>
              <w:bidi w:val="0"/>
              <w:spacing w:before="0" w:after="283"/>
              <w:ind w:left="0" w:right="0" w:hanging="180"/>
              <w:jc w:val="left"/>
              <w:rPr/>
            </w:pPr>
            <w:r>
              <w:rPr/>
              <w:t> </w:t>
            </w:r>
          </w:p>
        </w:tc>
      </w:tr>
      <w:tr>
        <w:trPr/>
        <w:tc>
          <w:tcPr>
            <w:tcW w:w="54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Advance of loans to third parties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(3,900,000</w:t>
            </w:r>
          </w:p>
        </w:tc>
        <w:tc>
          <w:tcPr>
            <w:tcW w:w="148"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548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 from loans to third parties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907,704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1,150,104</w:t>
            </w:r>
          </w:p>
        </w:tc>
        <w:tc>
          <w:tcPr>
            <w:tcW w:w="148" w:type="dxa"/>
            <w:tcBorders/>
            <w:vAlign w:val="center"/>
          </w:tcPr>
          <w:p>
            <w:pPr>
              <w:pStyle w:val="TableContents"/>
              <w:bidi w:val="0"/>
              <w:spacing w:before="0" w:after="283"/>
              <w:ind w:left="0" w:right="0" w:hanging="180"/>
              <w:jc w:val="left"/>
              <w:rPr/>
            </w:pPr>
            <w:r>
              <w:rPr/>
              <w:t> </w:t>
            </w:r>
          </w:p>
        </w:tc>
      </w:tr>
      <w:tr>
        <w:trPr/>
        <w:tc>
          <w:tcPr>
            <w:tcW w:w="54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Prepayment for the software, equipment and product development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(1,190,000</w:t>
            </w:r>
          </w:p>
        </w:tc>
        <w:tc>
          <w:tcPr>
            <w:tcW w:w="148"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548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Refund of prepayment for the product development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650,000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400,000</w:t>
            </w:r>
          </w:p>
        </w:tc>
        <w:tc>
          <w:tcPr>
            <w:tcW w:w="148" w:type="dxa"/>
            <w:tcBorders/>
            <w:vAlign w:val="center"/>
          </w:tcPr>
          <w:p>
            <w:pPr>
              <w:pStyle w:val="TableContents"/>
              <w:bidi w:val="0"/>
              <w:spacing w:before="0" w:after="283"/>
              <w:ind w:left="0" w:right="0" w:hanging="180"/>
              <w:jc w:val="left"/>
              <w:rPr/>
            </w:pPr>
            <w:r>
              <w:rPr/>
              <w:t> </w:t>
            </w:r>
          </w:p>
        </w:tc>
      </w:tr>
      <w:tr>
        <w:trPr/>
        <w:tc>
          <w:tcPr>
            <w:tcW w:w="5487"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(used in) provided by investing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(45,819,452</w:t>
            </w:r>
          </w:p>
        </w:tc>
        <w:tc>
          <w:tcPr>
            <w:tcW w:w="12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1,909,460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(10,463,416</w:t>
            </w:r>
          </w:p>
        </w:tc>
        <w:tc>
          <w:tcPr>
            <w:tcW w:w="148" w:type="dxa"/>
            <w:tcBorders/>
            <w:shd w:fill="CCEEFF" w:val="clear"/>
            <w:vAlign w:val="center"/>
          </w:tcPr>
          <w:p>
            <w:pPr>
              <w:pStyle w:val="TableContents"/>
              <w:bidi w:val="0"/>
              <w:spacing w:before="0" w:after="283"/>
              <w:ind w:left="0" w:right="0" w:hanging="180"/>
              <w:jc w:val="left"/>
              <w:rPr>
                <w:rFonts w:ascii="Times New Roman;Times;Serif" w:hAnsi="Times New Roman;Times;Serif"/>
                <w:b/>
              </w:rPr>
            </w:pPr>
            <w:r>
              <w:rPr>
                <w:rFonts w:ascii="Times New Roman;Times;Serif" w:hAnsi="Times New Roman;Times;Serif"/>
                <w:b/>
              </w:rPr>
              <w:t>)</w:t>
            </w:r>
          </w:p>
        </w:tc>
      </w:tr>
      <w:tr>
        <w:trPr/>
        <w:tc>
          <w:tcPr>
            <w:tcW w:w="548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48" w:type="dxa"/>
            <w:tcBorders/>
            <w:vAlign w:val="center"/>
          </w:tcPr>
          <w:p>
            <w:pPr>
              <w:pStyle w:val="TableContents"/>
              <w:bidi w:val="0"/>
              <w:spacing w:before="0" w:after="283"/>
              <w:ind w:left="0" w:right="0" w:hanging="180"/>
              <w:jc w:val="left"/>
              <w:rPr/>
            </w:pPr>
            <w:r>
              <w:rPr/>
              <w:t> </w:t>
            </w:r>
          </w:p>
        </w:tc>
      </w:tr>
      <w:tr>
        <w:trPr/>
        <w:tc>
          <w:tcPr>
            <w:tcW w:w="5487"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financing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548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proceeds from initial public offerings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13,560,000</w:t>
            </w:r>
          </w:p>
        </w:tc>
        <w:tc>
          <w:tcPr>
            <w:tcW w:w="148" w:type="dxa"/>
            <w:tcBorders/>
            <w:vAlign w:val="center"/>
          </w:tcPr>
          <w:p>
            <w:pPr>
              <w:pStyle w:val="TableContents"/>
              <w:bidi w:val="0"/>
              <w:spacing w:before="0" w:after="283"/>
              <w:ind w:left="0" w:right="0" w:hanging="180"/>
              <w:jc w:val="left"/>
              <w:rPr/>
            </w:pPr>
            <w:r>
              <w:rPr/>
              <w:t> </w:t>
            </w:r>
          </w:p>
        </w:tc>
      </w:tr>
      <w:tr>
        <w:trPr/>
        <w:tc>
          <w:tcPr>
            <w:tcW w:w="54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Direct costs disbursed from initial public offerings proceeds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(1,529,631</w:t>
            </w:r>
          </w:p>
        </w:tc>
        <w:tc>
          <w:tcPr>
            <w:tcW w:w="148"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548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sales of the Equity Security Units, net of issuance costs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6,910,134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w:t>
            </w:r>
          </w:p>
        </w:tc>
        <w:tc>
          <w:tcPr>
            <w:tcW w:w="148" w:type="dxa"/>
            <w:tcBorders/>
            <w:vAlign w:val="center"/>
          </w:tcPr>
          <w:p>
            <w:pPr>
              <w:pStyle w:val="TableContents"/>
              <w:bidi w:val="0"/>
              <w:spacing w:before="0" w:after="283"/>
              <w:ind w:left="0" w:right="0" w:hanging="180"/>
              <w:jc w:val="left"/>
              <w:rPr/>
            </w:pPr>
            <w:r>
              <w:rPr/>
              <w:t> </w:t>
            </w:r>
          </w:p>
        </w:tc>
      </w:tr>
      <w:tr>
        <w:trPr/>
        <w:tc>
          <w:tcPr>
            <w:tcW w:w="54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sales of ordinary shares, net of issuance costs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30,000,000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5,938,994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548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short-term bank loans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417,388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2,225,715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2,685,588</w:t>
            </w:r>
          </w:p>
        </w:tc>
        <w:tc>
          <w:tcPr>
            <w:tcW w:w="148" w:type="dxa"/>
            <w:tcBorders/>
            <w:vAlign w:val="center"/>
          </w:tcPr>
          <w:p>
            <w:pPr>
              <w:pStyle w:val="TableContents"/>
              <w:bidi w:val="0"/>
              <w:spacing w:before="0" w:after="283"/>
              <w:ind w:left="0" w:right="0" w:hanging="180"/>
              <w:jc w:val="left"/>
              <w:rPr/>
            </w:pPr>
            <w:r>
              <w:rPr/>
              <w:t> </w:t>
            </w:r>
          </w:p>
        </w:tc>
      </w:tr>
      <w:tr>
        <w:trPr/>
        <w:tc>
          <w:tcPr>
            <w:tcW w:w="54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Repayments of short-term bank loans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(1,530,421</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(3,338,573</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(424,040</w:t>
            </w:r>
          </w:p>
        </w:tc>
        <w:tc>
          <w:tcPr>
            <w:tcW w:w="148"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548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long-term bank loans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5,036,477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w:t>
            </w:r>
          </w:p>
        </w:tc>
        <w:tc>
          <w:tcPr>
            <w:tcW w:w="148" w:type="dxa"/>
            <w:tcBorders/>
            <w:vAlign w:val="center"/>
          </w:tcPr>
          <w:p>
            <w:pPr>
              <w:pStyle w:val="TableContents"/>
              <w:bidi w:val="0"/>
              <w:spacing w:before="0" w:after="283"/>
              <w:ind w:left="0" w:right="0" w:hanging="180"/>
              <w:jc w:val="left"/>
              <w:rPr/>
            </w:pPr>
            <w:r>
              <w:rPr/>
              <w:t> </w:t>
            </w:r>
          </w:p>
        </w:tc>
      </w:tr>
      <w:tr>
        <w:trPr/>
        <w:tc>
          <w:tcPr>
            <w:tcW w:w="54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Repayments of long-term bank loans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(153,043</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548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(Payments made to) advances received from a related party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(1,595,404</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524,610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(1,892,423</w:t>
            </w:r>
          </w:p>
        </w:tc>
        <w:tc>
          <w:tcPr>
            <w:tcW w:w="148" w:type="dxa"/>
            <w:tcBorders/>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54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Payments made for deferred offering costs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(340,469</w:t>
            </w:r>
          </w:p>
        </w:tc>
        <w:tc>
          <w:tcPr>
            <w:tcW w:w="148"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5487"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provided by financing activities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39,085,131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5,350,746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12,059,025</w:t>
            </w:r>
          </w:p>
        </w:tc>
        <w:tc>
          <w:tcPr>
            <w:tcW w:w="148" w:type="dxa"/>
            <w:tcBorders/>
            <w:vAlign w:val="center"/>
          </w:tcPr>
          <w:p>
            <w:pPr>
              <w:pStyle w:val="TableContents"/>
              <w:bidi w:val="0"/>
              <w:spacing w:before="0" w:after="283"/>
              <w:ind w:left="0" w:right="0" w:hanging="180"/>
              <w:jc w:val="left"/>
              <w:rPr/>
            </w:pPr>
            <w:r>
              <w:rPr/>
              <w:t> </w:t>
            </w:r>
          </w:p>
        </w:tc>
      </w:tr>
      <w:tr>
        <w:trPr/>
        <w:tc>
          <w:tcPr>
            <w:tcW w:w="548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5487"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Effect of exchange rate fluctuation on cash and cash equivalents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411,048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(176,783</w:t>
            </w:r>
          </w:p>
        </w:tc>
        <w:tc>
          <w:tcPr>
            <w:tcW w:w="12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(75,924</w:t>
            </w:r>
          </w:p>
        </w:tc>
        <w:tc>
          <w:tcPr>
            <w:tcW w:w="148" w:type="dxa"/>
            <w:tcBorders/>
            <w:vAlign w:val="center"/>
          </w:tcPr>
          <w:p>
            <w:pPr>
              <w:pStyle w:val="TableContents"/>
              <w:bidi w:val="0"/>
              <w:spacing w:before="0" w:after="283"/>
              <w:ind w:left="0" w:right="0" w:hanging="180"/>
              <w:jc w:val="left"/>
              <w:rPr>
                <w:rFonts w:ascii="Times New Roman;Times;Serif" w:hAnsi="Times New Roman;Times;Serif"/>
                <w:b/>
              </w:rPr>
            </w:pPr>
            <w:r>
              <w:rPr>
                <w:rFonts w:ascii="Times New Roman;Times;Serif" w:hAnsi="Times New Roman;Times;Serif"/>
                <w:b/>
              </w:rPr>
              <w:t>)</w:t>
            </w:r>
          </w:p>
        </w:tc>
      </w:tr>
      <w:tr>
        <w:trPr/>
        <w:tc>
          <w:tcPr>
            <w:tcW w:w="548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5487"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(decrease) increase in cash and cash equivalents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(3,458,406</w:t>
            </w:r>
          </w:p>
        </w:tc>
        <w:tc>
          <w:tcPr>
            <w:tcW w:w="12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10,621,461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(1,434,168</w:t>
            </w:r>
          </w:p>
        </w:tc>
        <w:tc>
          <w:tcPr>
            <w:tcW w:w="148" w:type="dxa"/>
            <w:tcBorders/>
            <w:vAlign w:val="center"/>
          </w:tcPr>
          <w:p>
            <w:pPr>
              <w:pStyle w:val="TableContents"/>
              <w:bidi w:val="0"/>
              <w:spacing w:before="0" w:after="283"/>
              <w:ind w:left="0" w:right="0" w:hanging="180"/>
              <w:jc w:val="left"/>
              <w:rPr>
                <w:rFonts w:ascii="Times New Roman;Times;Serif" w:hAnsi="Times New Roman;Times;Serif"/>
                <w:b/>
              </w:rPr>
            </w:pPr>
            <w:r>
              <w:rPr>
                <w:rFonts w:ascii="Times New Roman;Times;Serif" w:hAnsi="Times New Roman;Times;Serif"/>
                <w:b/>
              </w:rPr>
              <w:t>)</w:t>
            </w:r>
          </w:p>
        </w:tc>
      </w:tr>
      <w:tr>
        <w:trPr/>
        <w:tc>
          <w:tcPr>
            <w:tcW w:w="5487"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and cash equivalents, beginning of year</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12,102,763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1,481,302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2,915,470</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5487"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and cash equivalents, end of year</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0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8,644,357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3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12,102,763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0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1,481,302</w:t>
            </w:r>
          </w:p>
        </w:tc>
        <w:tc>
          <w:tcPr>
            <w:tcW w:w="148" w:type="dxa"/>
            <w:tcBorders/>
            <w:vAlign w:val="center"/>
          </w:tcPr>
          <w:p>
            <w:pPr>
              <w:pStyle w:val="TableContents"/>
              <w:bidi w:val="0"/>
              <w:spacing w:before="0" w:after="283"/>
              <w:ind w:left="0" w:right="0" w:hanging="180"/>
              <w:jc w:val="left"/>
              <w:rPr/>
            </w:pPr>
            <w:r>
              <w:rPr/>
              <w:t> </w:t>
            </w:r>
          </w:p>
        </w:tc>
      </w:tr>
      <w:tr>
        <w:trPr/>
        <w:tc>
          <w:tcPr>
            <w:tcW w:w="548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5487"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Supplemental cash flow information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48" w:type="dxa"/>
            <w:tcBorders/>
            <w:vAlign w:val="center"/>
          </w:tcPr>
          <w:p>
            <w:pPr>
              <w:pStyle w:val="TableContents"/>
              <w:bidi w:val="0"/>
              <w:spacing w:before="0" w:after="283"/>
              <w:ind w:left="0" w:right="0" w:hanging="180"/>
              <w:jc w:val="left"/>
              <w:rPr/>
            </w:pPr>
            <w:r>
              <w:rPr/>
              <w:t> </w:t>
            </w:r>
          </w:p>
        </w:tc>
      </w:tr>
      <w:tr>
        <w:trPr/>
        <w:tc>
          <w:tcPr>
            <w:tcW w:w="54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income taxes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29,053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45,128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92,409</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548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interest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0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181,157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3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141,106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0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32,444</w:t>
            </w:r>
          </w:p>
        </w:tc>
        <w:tc>
          <w:tcPr>
            <w:tcW w:w="148" w:type="dxa"/>
            <w:tcBorders/>
            <w:vAlign w:val="center"/>
          </w:tcPr>
          <w:p>
            <w:pPr>
              <w:pStyle w:val="TableContents"/>
              <w:bidi w:val="0"/>
              <w:spacing w:before="0" w:after="283"/>
              <w:ind w:left="0" w:right="0" w:hanging="180"/>
              <w:jc w:val="left"/>
              <w:rPr/>
            </w:pPr>
            <w:r>
              <w:rPr/>
              <w:t> </w:t>
            </w:r>
          </w:p>
        </w:tc>
      </w:tr>
      <w:tr>
        <w:trPr/>
        <w:tc>
          <w:tcPr>
            <w:tcW w:w="548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5487"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Non-cash operating, investing and financing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48" w:type="dxa"/>
            <w:tcBorders/>
            <w:vAlign w:val="center"/>
          </w:tcPr>
          <w:p>
            <w:pPr>
              <w:pStyle w:val="TableContents"/>
              <w:bidi w:val="0"/>
              <w:spacing w:before="0" w:after="283"/>
              <w:ind w:left="0" w:right="0" w:hanging="180"/>
              <w:jc w:val="left"/>
              <w:rPr/>
            </w:pPr>
            <w:r>
              <w:rPr/>
              <w:t> </w:t>
            </w:r>
          </w:p>
        </w:tc>
      </w:tr>
      <w:tr>
        <w:trPr/>
        <w:tc>
          <w:tcPr>
            <w:tcW w:w="54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and equipment acquired from a related party through settlement of amounts due from the related party (non-cash transaction)</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962,896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548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Reduction of right-of-use assets and operating lease obligations due to early termination or modification of lease agreement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4,208,435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2,519,354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bottom w:val="double" w:sz="10" w:space="0" w:color="000000"/>
            </w:tcBorders>
            <w:tcMar>
              <w:bottom w:w="28" w:type="dxa"/>
            </w:tcMar>
            <w:vAlign w:val="center"/>
          </w:tcPr>
          <w:p>
            <w:pPr>
              <w:pStyle w:val="TableContents"/>
              <w:bidi w:val="0"/>
              <w:spacing w:before="0" w:after="283"/>
              <w:jc w:val="right"/>
              <w:rPr/>
            </w:pPr>
            <w:r>
              <w:rPr/>
              <w:t>-</w:t>
            </w:r>
          </w:p>
        </w:tc>
        <w:tc>
          <w:tcPr>
            <w:tcW w:w="148" w:type="dxa"/>
            <w:tcBorders/>
            <w:vAlign w:val="center"/>
          </w:tcPr>
          <w:p>
            <w:pPr>
              <w:pStyle w:val="TableContents"/>
              <w:bidi w:val="0"/>
              <w:spacing w:before="0" w:after="283"/>
              <w:ind w:left="0" w:right="0" w:hanging="180"/>
              <w:jc w:val="left"/>
              <w:rPr/>
            </w:pPr>
            <w:r>
              <w:rPr/>
              <w:t> </w:t>
            </w:r>
          </w:p>
        </w:tc>
      </w:tr>
      <w:tr>
        <w:trPr/>
        <w:tc>
          <w:tcPr>
            <w:tcW w:w="54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Right of use assets obtained in exchange for operating lease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3,423,624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2,719,792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1,676,362</w:t>
            </w:r>
          </w:p>
        </w:tc>
        <w:tc>
          <w:tcPr>
            <w:tcW w:w="148" w:type="dxa"/>
            <w:tcBorders/>
            <w:shd w:fill="CCEEFF" w:val="clear"/>
            <w:vAlign w:val="center"/>
          </w:tcPr>
          <w:p>
            <w:pPr>
              <w:pStyle w:val="TableContents"/>
              <w:bidi w:val="0"/>
              <w:spacing w:before="0" w:after="283"/>
              <w:ind w:left="0" w:right="0" w:hanging="180"/>
              <w:jc w:val="left"/>
              <w:rPr/>
            </w:pPr>
            <w:r>
              <w:rPr/>
              <w:t> </w:t>
            </w:r>
          </w:p>
        </w:tc>
      </w:tr>
      <w:tr>
        <w:trPr/>
        <w:tc>
          <w:tcPr>
            <w:tcW w:w="548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IPO cost offset with additional paid-in capital</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bottom w:val="double" w:sz="10"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1,095,872</w:t>
            </w:r>
          </w:p>
        </w:tc>
        <w:tc>
          <w:tcPr>
            <w:tcW w:w="148" w:type="dxa"/>
            <w:tcBorders/>
            <w:vAlign w:val="center"/>
          </w:tcPr>
          <w:p>
            <w:pPr>
              <w:pStyle w:val="TableContents"/>
              <w:bidi w:val="0"/>
              <w:spacing w:before="0" w:after="283"/>
              <w:ind w:left="0" w:right="0" w:hanging="180"/>
              <w:jc w:val="left"/>
              <w:rPr/>
            </w:pPr>
            <w:r>
              <w:rPr/>
              <w:t> </w:t>
            </w:r>
          </w:p>
        </w:tc>
      </w:tr>
      <w:tr>
        <w:trPr/>
        <w:tc>
          <w:tcPr>
            <w:tcW w:w="54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assets acquired by prepayment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48"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accompanying notes are an integral part of these consolidated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3" w:name="F_006"/>
      <w:bookmarkEnd w:id="43"/>
      <w:r>
        <w:rPr>
          <w:rFonts w:ascii="Times New Roman;Times;Serif" w:hAnsi="Times New Roman;Times;Serif"/>
          <w:b/>
          <w:i w:val="false"/>
          <w:caps w:val="false"/>
          <w:smallCaps w:val="false"/>
          <w:sz w:val="20"/>
        </w:rPr>
        <w:t>CHANSON INTERNATIONAL HOLDING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ORGANIZATION AND BUSINESS DESCRIPTION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Chanson International Holding (“Chanson International,” or the “Company”), formerly known as RON Holding Limited, was incorporated under the laws of the Cayman Islands on July 26, 2019 as a holding company. Chanson International owns 100% of the equity interests of Deen Global Limited (“Deen Global”), a limited liability company incorporated under the laws of British Virgin Islands (“BVI”) on August 13, 2019. Deen Global owns 100% of the equity interests of Jenyd Holdings Limited (“Jenyd”), a business company incorporated in accordance with the laws and regulations of Hong Kong on September 13, 2019.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Chanson International, Deen Global, and Jenyd are currently not engaging in any active business operations and merely acting as holding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Xinjiang United Family Trading Co., Ltd. (“Xinjiang United Family”), is a company incorporated on August 7, 2009 in the People’s Republic of China (the “PRC”), with a registered capital of RMB6 million (approximately $0.88 million). On September 27, 2020, the original shareholders of Xinjiang United Family signed a share transfer agreement and transferred their 100% ownership interest in Xinjiang United Family to Jenyd, and accordingly Xinjiang United Family became a wholly foreign-owned enterprise (“WFOE”) and a wholly-owned subsidiary of Jenyd.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 2025, Xinjiang United Family incorporated a wholly-owned subsidiary, Urumqi George Chanson Trading Co., Ltd. (“George Chanson Trading”) in the PRC, which is engaged in the business of sales and distribution of bakery and beverage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Xinjiang United Family and its subsidiary, George Chanson Trading, operate a bakery chain in China’s Xinjiang autonomous region under the brand name of “George●Chanson.” The chain currently consists of 10 directly-owned high-end bakery stores in the City of Urumqi and 53 bakery stores organized as individually-owned businesses known as the United Family Group (each a “UFG entity” and, collectively, the “UFG entities”) in Xinjiang region. The UFG entities are owned by the original shareholders of Xinjiang United Family but operated under a series of contractual agreements signed between the owners of these UFG entities and Xinjiang United Family.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17, 2015, Xinjiang United Family incorporated a wholly-owned subsidiary, George Chanson (NY) Corp. (“Chanson NY”), in the State of New York, which owns and operates Chanson 23rd Street LLC (“Chanson 23rd Street”), a modern European-style café and eatery that specializes in the art of making French-style viennoiseries and pastries in the heart of Manhattan’s Flatiron District. On February 20, 2020, the Company’s Chairman, Mr. Gang Li, formed Chanson 355 Greenwich LLC (“Chanson Greenwich”), a New York limited liability company, and subsequently assigned his membership interests in Chanson Greenwich to Chanson NY on September 28, 2020. After the transfer, Chanson Greenwich became a wholly owned subsidiary of Chanson NY. Chanson Greenwich is another boutique café in Manhattan opened in December 2021 and closed in the second half of fiscal year 2023. On April 21, 2021, Chanson NY formed a wholly owned subsidiary, Chanson Management LLC, a Delaware limited liability company. On August 5, 2021, Chanson NY formed a wholly owned subsidiary, Chanson 1293 3rd Ave LLC (“Chanson 3rd Ave”), a New York limited liability company. On March 21, 2022, Chanson NY formed a wholly owned subsidiary, Chanson 2040 Broadway LLC (“Chanson Broadway”), a New York limited liability company. Chanson 3rd Ave and Chanson Broadway are another two boutique cafés opened in March 2023 and July 2023,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its initial public offering, the Company has undertaken a reorganization of its legal structure (the “Reorganization”). The Reorganization involved the incorporation of Chanson International, Deen Global, and Jenyd, the entry into a Share Transfer Agreement to transfer the ownership interest in Xinjiang United Family from its original shareholders to Jenyd, and the signing of a series of contractual agreements between Xinjiang United Family and the owners of the UFG entities. After the Reorganization, Chanson International became the ultimate holding company of Xinjiang United Family and Xinjiang United Family became the primary beneficiary of the UFG entities through the VIE Agreements, as further discussed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Xinjiang United Family entered into a series of contractual arrangements with the owners of the 22 UFG entities on May 2, 2020, and with the owners of three newly established UFG entities in fiscal year 2020, five newly established UFG entities in fiscal year 2021, one newly established UFG entity in fiscal year 2022, nine newly established UFG entity in fiscal year 2023, twenty newly established UFG entities in fiscal year 2024, and four newly established UFG entities in fiscal year 2025, respectively. Three of these UFG entities were closed in fiscal year 2021, three of these UFG entities were closed in fiscal year 2023, two of these UFG entities were closed in fiscal year 2024 and three of these UFG entities were closed in fiscal year 2025. These agreements include Exclusive Service Agreements, Pledge Agreements, Call Option Agreements, Operating Rights Proxy and Powers of Attorney Agreements and Spousal Consents (collectively, the “VIE Agreements”). Pursuant to the above VIE Agreements, Xinjiang United Family has the exclusive right to provide the UFG entities with consulting services related to business operations including operational and management consulting services. The VIE Agreements obligate Xinjiang United Family to absorb all of the risk of loss from business activities of these UFG entities and entitle Xinjiang United Family to receive all of their residual returns. In essence, Xinjiang United Family has gained the power to direct activities of the UFG entities that most significantly impact their economic performance, and the right to receive benefits from the UFG entities that could potentially be significant to them. Therefore, the Company believes that Xinjiang United Family has a controlling financial interest in and is the primary beneficiary of the UFG entities and these UFG entities should be considered as Variable Interest Entities (“VIEs”) under the Statement of Financial Accounting Standards Board (“FASB”) Accounting Standards Codification (“ASC”) 810 </w:t>
      </w:r>
      <w:r>
        <w:rPr>
          <w:rFonts w:ascii="Times New Roman;Times;Serif" w:hAnsi="Times New Roman;Times;Serif"/>
          <w:b w:val="false"/>
          <w:i/>
          <w:caps w:val="false"/>
          <w:smallCaps w:val="false"/>
          <w:sz w:val="20"/>
        </w:rPr>
        <w:t>Consolidation</w:t>
      </w:r>
      <w:r>
        <w:rPr>
          <w:rFonts w:ascii="Times New Roman;Times;Serif" w:hAnsi="Times New Roman;Times;Serif"/>
          <w:b w:val="false"/>
          <w:i w:val="false"/>
          <w:caps w:val="false"/>
          <w:smallCaps w:val="false"/>
          <w:sz w:val="20"/>
        </w:rPr>
        <w:t>. Hereinafter, the ten bakery stores directly owned by Xinjiang United Family and the UFG entities controlled through the VIE Agreements are collectively referred to as the “PRC Stores.”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together with its wholly owned subsidiaries are under common control by the same shareholders before and after the Reorganization and therefore the consolidation of the Company and its subsidiaries has been accounted for at historical cost.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Reorganization, the consolidated financial statements of the Company include the following entities: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634"/>
        <w:gridCol w:w="90"/>
        <w:gridCol w:w="1428"/>
        <w:gridCol w:w="90"/>
        <w:gridCol w:w="1479"/>
        <w:gridCol w:w="90"/>
        <w:gridCol w:w="1035"/>
        <w:gridCol w:w="90"/>
        <w:gridCol w:w="4269"/>
      </w:tblGrid>
      <w:tr>
        <w:trPr/>
        <w:tc>
          <w:tcPr>
            <w:tcW w:w="1634"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of Entity</w:t>
            </w:r>
          </w:p>
        </w:tc>
        <w:tc>
          <w:tcPr>
            <w:tcW w:w="90" w:type="dxa"/>
            <w:tcBorders/>
            <w:tcMar>
              <w:bottom w:w="0" w:type="dxa"/>
            </w:tcMar>
            <w:vAlign w:val="center"/>
          </w:tcPr>
          <w:p>
            <w:pPr>
              <w:pStyle w:val="TableContents"/>
              <w:bidi w:val="0"/>
              <w:spacing w:before="0" w:after="283"/>
              <w:jc w:val="left"/>
              <w:rPr/>
            </w:pPr>
            <w:r>
              <w:rPr/>
              <w:t> </w:t>
            </w:r>
          </w:p>
        </w:tc>
        <w:tc>
          <w:tcPr>
            <w:tcW w:w="1428"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 of</w:t>
              <w:br/>
              <w:t>Incorporation</w:t>
            </w:r>
          </w:p>
        </w:tc>
        <w:tc>
          <w:tcPr>
            <w:tcW w:w="90" w:type="dxa"/>
            <w:tcBorders/>
            <w:tcMar>
              <w:bottom w:w="0" w:type="dxa"/>
            </w:tcMar>
            <w:vAlign w:val="center"/>
          </w:tcPr>
          <w:p>
            <w:pPr>
              <w:pStyle w:val="TableContents"/>
              <w:bidi w:val="0"/>
              <w:spacing w:before="0" w:after="283"/>
              <w:jc w:val="left"/>
              <w:rPr/>
            </w:pPr>
            <w:r>
              <w:rPr/>
              <w:t> </w:t>
            </w:r>
          </w:p>
        </w:tc>
        <w:tc>
          <w:tcPr>
            <w:tcW w:w="1479"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Place of</w:t>
              <w:br/>
              <w:t>Incorporation</w:t>
            </w:r>
          </w:p>
        </w:tc>
        <w:tc>
          <w:tcPr>
            <w:tcW w:w="90" w:type="dxa"/>
            <w:tcBorders/>
            <w:tcMar>
              <w:bottom w:w="0" w:type="dxa"/>
            </w:tcMar>
            <w:vAlign w:val="center"/>
          </w:tcPr>
          <w:p>
            <w:pPr>
              <w:pStyle w:val="TableContents"/>
              <w:bidi w:val="0"/>
              <w:spacing w:before="0" w:after="283"/>
              <w:jc w:val="left"/>
              <w:rPr/>
            </w:pPr>
            <w:r>
              <w:rPr/>
              <w:t> </w:t>
            </w:r>
          </w:p>
        </w:tc>
        <w:tc>
          <w:tcPr>
            <w:tcW w:w="10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of</w:t>
              <w:br/>
              <w:t>Ownership</w:t>
            </w:r>
          </w:p>
        </w:tc>
        <w:tc>
          <w:tcPr>
            <w:tcW w:w="90" w:type="dxa"/>
            <w:tcBorders/>
            <w:tcMar>
              <w:bottom w:w="0" w:type="dxa"/>
            </w:tcMar>
            <w:vAlign w:val="center"/>
          </w:tcPr>
          <w:p>
            <w:pPr>
              <w:pStyle w:val="TableContents"/>
              <w:bidi w:val="0"/>
              <w:spacing w:before="0" w:after="283"/>
              <w:jc w:val="left"/>
              <w:rPr/>
            </w:pPr>
            <w:r>
              <w:rPr/>
              <w:t> </w:t>
            </w:r>
          </w:p>
        </w:tc>
        <w:tc>
          <w:tcPr>
            <w:tcW w:w="4269"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Principal Activities</w:t>
            </w:r>
          </w:p>
        </w:tc>
      </w:tr>
      <w:tr>
        <w:trPr/>
        <w:tc>
          <w:tcPr>
            <w:tcW w:w="163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Chanson International</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42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26, 2019</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47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Cayman Islands</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03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Parent, 100%</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426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Investment holding</w:t>
            </w:r>
          </w:p>
        </w:tc>
      </w:tr>
      <w:tr>
        <w:trPr/>
        <w:tc>
          <w:tcPr>
            <w:tcW w:w="1634"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center"/>
              <w:rPr/>
            </w:pPr>
            <w:r>
              <w:rPr/>
              <w:t> </w:t>
            </w:r>
          </w:p>
        </w:tc>
        <w:tc>
          <w:tcPr>
            <w:tcW w:w="1428"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479"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03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4269" w:type="dxa"/>
            <w:tcBorders/>
            <w:tcMar>
              <w:bottom w:w="0" w:type="dxa"/>
            </w:tcMar>
            <w:vAlign w:val="center"/>
          </w:tcPr>
          <w:p>
            <w:pPr>
              <w:pStyle w:val="TableContents"/>
              <w:bidi w:val="0"/>
              <w:spacing w:before="0" w:after="283"/>
              <w:jc w:val="center"/>
              <w:rPr/>
            </w:pPr>
            <w:r>
              <w:rPr/>
              <w:t> </w:t>
            </w:r>
          </w:p>
        </w:tc>
      </w:tr>
      <w:tr>
        <w:trPr/>
        <w:tc>
          <w:tcPr>
            <w:tcW w:w="163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Deen Global</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42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13, 2019</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47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British Virgin Islands</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03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426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Investment holding</w:t>
            </w:r>
          </w:p>
        </w:tc>
      </w:tr>
      <w:tr>
        <w:trPr/>
        <w:tc>
          <w:tcPr>
            <w:tcW w:w="1634"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center"/>
              <w:rPr/>
            </w:pPr>
            <w:r>
              <w:rPr/>
              <w:t> </w:t>
            </w:r>
          </w:p>
        </w:tc>
        <w:tc>
          <w:tcPr>
            <w:tcW w:w="1428"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479"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03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4269" w:type="dxa"/>
            <w:tcBorders/>
            <w:tcMar>
              <w:bottom w:w="0" w:type="dxa"/>
            </w:tcMar>
            <w:vAlign w:val="center"/>
          </w:tcPr>
          <w:p>
            <w:pPr>
              <w:pStyle w:val="TableContents"/>
              <w:bidi w:val="0"/>
              <w:spacing w:before="0" w:after="283"/>
              <w:jc w:val="center"/>
              <w:rPr/>
            </w:pPr>
            <w:r>
              <w:rPr/>
              <w:t> </w:t>
            </w:r>
          </w:p>
        </w:tc>
      </w:tr>
      <w:tr>
        <w:trPr/>
        <w:tc>
          <w:tcPr>
            <w:tcW w:w="163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Jenyd</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42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13, 2019</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47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Hong Kong</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03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426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Investment holding</w:t>
            </w:r>
          </w:p>
        </w:tc>
      </w:tr>
      <w:tr>
        <w:trPr/>
        <w:tc>
          <w:tcPr>
            <w:tcW w:w="1634"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center"/>
              <w:rPr/>
            </w:pPr>
            <w:r>
              <w:rPr/>
              <w:t> </w:t>
            </w:r>
          </w:p>
        </w:tc>
        <w:tc>
          <w:tcPr>
            <w:tcW w:w="1428"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479"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03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4269" w:type="dxa"/>
            <w:tcBorders/>
            <w:tcMar>
              <w:bottom w:w="0" w:type="dxa"/>
            </w:tcMar>
            <w:vAlign w:val="center"/>
          </w:tcPr>
          <w:p>
            <w:pPr>
              <w:pStyle w:val="TableContents"/>
              <w:bidi w:val="0"/>
              <w:spacing w:before="0" w:after="283"/>
              <w:jc w:val="center"/>
              <w:rPr/>
            </w:pPr>
            <w:r>
              <w:rPr/>
              <w:t> </w:t>
            </w:r>
          </w:p>
        </w:tc>
      </w:tr>
      <w:tr>
        <w:trPr/>
        <w:tc>
          <w:tcPr>
            <w:tcW w:w="163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Xinjiang United Family</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42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7, 2009</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47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PRC</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03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426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Consultancy and information technology support; sells bakery and beverage products to customers</w:t>
            </w:r>
          </w:p>
        </w:tc>
      </w:tr>
      <w:tr>
        <w:trPr/>
        <w:tc>
          <w:tcPr>
            <w:tcW w:w="1634"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center"/>
              <w:rPr/>
            </w:pPr>
            <w:r>
              <w:rPr/>
              <w:t> </w:t>
            </w:r>
          </w:p>
        </w:tc>
        <w:tc>
          <w:tcPr>
            <w:tcW w:w="1428"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479"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03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4269" w:type="dxa"/>
            <w:tcBorders/>
            <w:tcMar>
              <w:bottom w:w="0" w:type="dxa"/>
            </w:tcMar>
            <w:vAlign w:val="center"/>
          </w:tcPr>
          <w:p>
            <w:pPr>
              <w:pStyle w:val="TableContents"/>
              <w:bidi w:val="0"/>
              <w:spacing w:before="0" w:after="283"/>
              <w:jc w:val="center"/>
              <w:rPr/>
            </w:pPr>
            <w:r>
              <w:rPr/>
              <w:t> </w:t>
            </w:r>
          </w:p>
        </w:tc>
      </w:tr>
      <w:tr>
        <w:trPr/>
        <w:tc>
          <w:tcPr>
            <w:tcW w:w="163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George Chanson Trading</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42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3, 2025</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47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PRC</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03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426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Sales and distribution of bakery and beverage products</w:t>
            </w:r>
          </w:p>
        </w:tc>
      </w:tr>
      <w:tr>
        <w:trPr/>
        <w:tc>
          <w:tcPr>
            <w:tcW w:w="1634"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center"/>
              <w:rPr/>
            </w:pPr>
            <w:r>
              <w:rPr/>
              <w:t> </w:t>
            </w:r>
          </w:p>
        </w:tc>
        <w:tc>
          <w:tcPr>
            <w:tcW w:w="1428"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479"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03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4269" w:type="dxa"/>
            <w:tcBorders/>
            <w:tcMar>
              <w:bottom w:w="0" w:type="dxa"/>
            </w:tcMar>
            <w:vAlign w:val="center"/>
          </w:tcPr>
          <w:p>
            <w:pPr>
              <w:pStyle w:val="TableContents"/>
              <w:bidi w:val="0"/>
              <w:spacing w:before="0" w:after="283"/>
              <w:jc w:val="center"/>
              <w:rPr/>
            </w:pPr>
            <w:r>
              <w:rPr/>
              <w:t> </w:t>
            </w:r>
          </w:p>
        </w:tc>
      </w:tr>
      <w:tr>
        <w:trPr/>
        <w:tc>
          <w:tcPr>
            <w:tcW w:w="163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53 UFG entities</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42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2012 to 2025</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47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PRC</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03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VIEs</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426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Sells bakery products and beverages to customers</w:t>
            </w:r>
          </w:p>
        </w:tc>
      </w:tr>
      <w:tr>
        <w:trPr/>
        <w:tc>
          <w:tcPr>
            <w:tcW w:w="1634"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center"/>
              <w:rPr/>
            </w:pPr>
            <w:r>
              <w:rPr/>
              <w:t> </w:t>
            </w:r>
          </w:p>
        </w:tc>
        <w:tc>
          <w:tcPr>
            <w:tcW w:w="1428"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479"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03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4269" w:type="dxa"/>
            <w:tcBorders/>
            <w:tcMar>
              <w:bottom w:w="0" w:type="dxa"/>
            </w:tcMar>
            <w:vAlign w:val="center"/>
          </w:tcPr>
          <w:p>
            <w:pPr>
              <w:pStyle w:val="TableContents"/>
              <w:bidi w:val="0"/>
              <w:spacing w:before="0" w:after="283"/>
              <w:jc w:val="center"/>
              <w:rPr/>
            </w:pPr>
            <w:r>
              <w:rPr/>
              <w:t> </w:t>
            </w:r>
          </w:p>
        </w:tc>
      </w:tr>
      <w:tr>
        <w:trPr/>
        <w:tc>
          <w:tcPr>
            <w:tcW w:w="163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Chanson NY</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42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April 17, 2015</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47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New York</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03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426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Holding company. Consultancy and information technology support</w:t>
            </w:r>
          </w:p>
        </w:tc>
      </w:tr>
      <w:tr>
        <w:trPr/>
        <w:tc>
          <w:tcPr>
            <w:tcW w:w="1634"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center"/>
              <w:rPr/>
            </w:pPr>
            <w:r>
              <w:rPr/>
              <w:t> </w:t>
            </w:r>
          </w:p>
        </w:tc>
        <w:tc>
          <w:tcPr>
            <w:tcW w:w="1428"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479"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03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4269" w:type="dxa"/>
            <w:tcBorders/>
            <w:tcMar>
              <w:bottom w:w="0" w:type="dxa"/>
            </w:tcMar>
            <w:vAlign w:val="center"/>
          </w:tcPr>
          <w:p>
            <w:pPr>
              <w:pStyle w:val="TableContents"/>
              <w:bidi w:val="0"/>
              <w:spacing w:before="0" w:after="283"/>
              <w:jc w:val="center"/>
              <w:rPr/>
            </w:pPr>
            <w:r>
              <w:rPr/>
              <w:t> </w:t>
            </w:r>
          </w:p>
        </w:tc>
      </w:tr>
      <w:tr>
        <w:trPr/>
        <w:tc>
          <w:tcPr>
            <w:tcW w:w="163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Chanson 23rd Street</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42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December 18, 2015</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47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New York</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03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426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Eat-in services and bakery products and beverage products</w:t>
            </w:r>
          </w:p>
        </w:tc>
      </w:tr>
      <w:tr>
        <w:trPr/>
        <w:tc>
          <w:tcPr>
            <w:tcW w:w="1634"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center"/>
              <w:rPr/>
            </w:pPr>
            <w:r>
              <w:rPr/>
              <w:t> </w:t>
            </w:r>
          </w:p>
        </w:tc>
        <w:tc>
          <w:tcPr>
            <w:tcW w:w="1428"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479"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03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4269" w:type="dxa"/>
            <w:tcBorders/>
            <w:tcMar>
              <w:bottom w:w="0" w:type="dxa"/>
            </w:tcMar>
            <w:vAlign w:val="center"/>
          </w:tcPr>
          <w:p>
            <w:pPr>
              <w:pStyle w:val="TableContents"/>
              <w:bidi w:val="0"/>
              <w:spacing w:before="0" w:after="283"/>
              <w:jc w:val="center"/>
              <w:rPr/>
            </w:pPr>
            <w:r>
              <w:rPr/>
              <w:t> </w:t>
            </w:r>
          </w:p>
        </w:tc>
      </w:tr>
      <w:tr>
        <w:trPr/>
        <w:tc>
          <w:tcPr>
            <w:tcW w:w="163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Chanson Greenwich</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42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February 20, 2020</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47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New York</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03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426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Eat-in services and bakery products and beverage products, closed in the second half of fiscal year 2023</w:t>
            </w:r>
          </w:p>
        </w:tc>
      </w:tr>
      <w:tr>
        <w:trPr/>
        <w:tc>
          <w:tcPr>
            <w:tcW w:w="1634"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center"/>
              <w:rPr/>
            </w:pPr>
            <w:r>
              <w:rPr/>
              <w:t> </w:t>
            </w:r>
          </w:p>
        </w:tc>
        <w:tc>
          <w:tcPr>
            <w:tcW w:w="1428"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479"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03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4269" w:type="dxa"/>
            <w:tcBorders/>
            <w:tcMar>
              <w:bottom w:w="0" w:type="dxa"/>
            </w:tcMar>
            <w:vAlign w:val="center"/>
          </w:tcPr>
          <w:p>
            <w:pPr>
              <w:pStyle w:val="TableContents"/>
              <w:bidi w:val="0"/>
              <w:spacing w:before="0" w:after="283"/>
              <w:jc w:val="center"/>
              <w:rPr/>
            </w:pPr>
            <w:r>
              <w:rPr/>
              <w:t> </w:t>
            </w:r>
          </w:p>
        </w:tc>
      </w:tr>
      <w:tr>
        <w:trPr/>
        <w:tc>
          <w:tcPr>
            <w:tcW w:w="163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Chanson Management LLC</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42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April 21, 2021</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47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03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426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Consultancy and management support</w:t>
            </w:r>
          </w:p>
        </w:tc>
      </w:tr>
      <w:tr>
        <w:trPr/>
        <w:tc>
          <w:tcPr>
            <w:tcW w:w="1634"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center"/>
              <w:rPr/>
            </w:pPr>
            <w:r>
              <w:rPr/>
              <w:t> </w:t>
            </w:r>
          </w:p>
        </w:tc>
        <w:tc>
          <w:tcPr>
            <w:tcW w:w="1428"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479"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03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4269" w:type="dxa"/>
            <w:tcBorders/>
            <w:tcMar>
              <w:bottom w:w="0" w:type="dxa"/>
            </w:tcMar>
            <w:vAlign w:val="center"/>
          </w:tcPr>
          <w:p>
            <w:pPr>
              <w:pStyle w:val="TableContents"/>
              <w:bidi w:val="0"/>
              <w:spacing w:before="0" w:after="283"/>
              <w:jc w:val="center"/>
              <w:rPr/>
            </w:pPr>
            <w:r>
              <w:rPr/>
              <w:t> </w:t>
            </w:r>
          </w:p>
        </w:tc>
      </w:tr>
      <w:tr>
        <w:trPr/>
        <w:tc>
          <w:tcPr>
            <w:tcW w:w="163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Chanson 3rd Ave</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42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5, 2021</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47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New York</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03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426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Eat-in services and bakery products and beverage products</w:t>
            </w:r>
          </w:p>
        </w:tc>
      </w:tr>
      <w:tr>
        <w:trPr/>
        <w:tc>
          <w:tcPr>
            <w:tcW w:w="1634"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center"/>
              <w:rPr/>
            </w:pPr>
            <w:r>
              <w:rPr/>
              <w:t> </w:t>
            </w:r>
          </w:p>
        </w:tc>
        <w:tc>
          <w:tcPr>
            <w:tcW w:w="1428"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479"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03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4269" w:type="dxa"/>
            <w:tcBorders/>
            <w:tcMar>
              <w:bottom w:w="0" w:type="dxa"/>
            </w:tcMar>
            <w:vAlign w:val="center"/>
          </w:tcPr>
          <w:p>
            <w:pPr>
              <w:pStyle w:val="TableContents"/>
              <w:bidi w:val="0"/>
              <w:spacing w:before="0" w:after="283"/>
              <w:jc w:val="center"/>
              <w:rPr/>
            </w:pPr>
            <w:r>
              <w:rPr/>
              <w:t> </w:t>
            </w:r>
          </w:p>
        </w:tc>
      </w:tr>
      <w:tr>
        <w:trPr/>
        <w:tc>
          <w:tcPr>
            <w:tcW w:w="163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Chanson Broadway</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42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21, 2022</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47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New York</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03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426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Eat-in services and bakery products and beverage products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The VIE contractual arrangements</w:t>
      </w:r>
    </w:p>
    <w:p>
      <w:pPr>
        <w:pStyle w:val="TextBody"/>
        <w:bidi w:val="0"/>
        <w:spacing w:before="0" w:after="0"/>
        <w:ind w:left="0" w:right="0" w:hanging="10"/>
        <w:jc w:val="left"/>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UFG entities are controlled by the Company through contractual arrangements in lieu of direct equity ownership by the Company or any of its subsidiaries.</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VIE is an entity that either has a total equity investment that is insufficient to finance its activities without additional subordinated financial support, or whose equity investors lack the characteristics of a controlling financial interest, such as through voting rights, right to receive the expected residual returns of the entity, or obligation to absorb the expected losses of the entity. The variable interest holder, if any, that has a controlling financial interest in a VIE is deemed to be the primary beneficiary of, and must consolidate, the VIE.</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Xinjiang United Family and its subsidiary is deemed to have a controlling financial interest in and be the primary beneficiary of the UFG entities because it has both of the following characteristics: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power to direct activities at the UFG entities that most significantly impact such entities’ economic performance,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obligation to absorb losses of, and the right to receive benefits from, the UFG entities that could potentially be significant to such entities.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contractual arrangements with the UFG entities, the UFG entities pay service fees equal to all of their net profit after tax payments to Xinjiang United Family and its subsidiary. At the same time, Xinjiang United Family and its subsidiary are obligated to absorb all of their losses. Such contractual arrangements are designed so that the operation of the UFG entities is for the benefit of Xinjiang United Family and, ultimately,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Risks associated with the VIE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the contractual arrangements with the UFG entities and their respective owners are in compliance with PRC laws and regulations and are legally enforceable. However, uncertainties in the PRC legal system could limit the Company’s ability to enforce such contractual arrangements. If the legal structure and contractual arrangements were found to be in violation of PRC laws and regulations, the PRC government could:</w:t>
      </w:r>
    </w:p>
    <w:p>
      <w:pPr>
        <w:pStyle w:val="TextBody"/>
        <w:bidi w:val="0"/>
        <w:spacing w:before="0" w:after="0"/>
        <w:ind w:left="0" w:right="0" w:hanging="0"/>
        <w:jc w:val="both"/>
        <w:rPr>
          <w:caps w:val="false"/>
          <w:smallCaps w:val="false"/>
        </w:rPr>
      </w:pPr>
      <w:r>
        <w:rPr>
          <w:caps w:val="false"/>
          <w:smallCaps w:val="false"/>
        </w:rPr>
        <w:t> </w:t>
      </w:r>
    </w:p>
    <w:tbl>
      <w:tblPr>
        <w:tblW w:w="8530" w:type="dxa"/>
        <w:jc w:val="left"/>
        <w:tblInd w:w="0" w:type="dxa"/>
        <w:tblLayout w:type="fixed"/>
        <w:tblCellMar>
          <w:top w:w="0" w:type="dxa"/>
          <w:left w:w="0" w:type="dxa"/>
          <w:bottom w:w="0" w:type="dxa"/>
          <w:right w:w="0" w:type="dxa"/>
        </w:tblCellMar>
      </w:tblPr>
      <w:tblGrid>
        <w:gridCol w:w="105"/>
        <w:gridCol w:w="200"/>
        <w:gridCol w:w="822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8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revoke the business and operating licenses of the Company’s PRC subsidiaries and the UFG entities;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discontinue or restrict the operations of any related-party transactions between the Company’s PRC subsidiaries and the UFG entities;</w:t>
            </w:r>
          </w:p>
        </w:tc>
      </w:tr>
    </w:tbl>
    <w:p>
      <w:pPr>
        <w:pStyle w:val="TextBody"/>
        <w:bidi w:val="0"/>
        <w:spacing w:before="0" w:after="0"/>
        <w:ind w:left="0" w:right="0" w:hanging="0"/>
        <w:jc w:val="both"/>
        <w:rPr>
          <w:caps w:val="false"/>
          <w:smallCaps w:val="false"/>
        </w:rPr>
      </w:pPr>
      <w:r>
        <w:rPr>
          <w:caps w:val="false"/>
          <w:smallCaps w:val="false"/>
        </w:rPr>
        <w:t> </w:t>
      </w:r>
    </w:p>
    <w:tbl>
      <w:tblPr>
        <w:tblW w:w="8515" w:type="dxa"/>
        <w:jc w:val="left"/>
        <w:tblInd w:w="0" w:type="dxa"/>
        <w:tblLayout w:type="fixed"/>
        <w:tblCellMar>
          <w:top w:w="0" w:type="dxa"/>
          <w:left w:w="0" w:type="dxa"/>
          <w:bottom w:w="0" w:type="dxa"/>
          <w:right w:w="0" w:type="dxa"/>
        </w:tblCellMar>
      </w:tblPr>
      <w:tblGrid>
        <w:gridCol w:w="105"/>
        <w:gridCol w:w="200"/>
        <w:gridCol w:w="821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82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limit the Company’s business expansion in China by way of entering into contractual arrangements;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impose fines or other requirements with which the Company’s PRC subsidiaries and the UFG entities may not be able to comply;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require the Company or the Company’s PRC subsidiaries and the UFG entities to restructure the relevant ownership structure or operations;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restrict or prohibit the Company’s use of the proceeds from its public offering to finance the Company’s business and operations in China.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ability to conduct its consulting services business may be negatively affected if the PRC government were to carry out of any of the aforementioned actions. As a result, the Company may not be able to consolidate the UFG entities in its consolidated financial statements as it may lose the ability to direct activities of the UFG entities and receive economic benefits from the UFG entities. The Company, however, does not believe such actions would result in the liquidation or dissolution of the Company and its PRC subsidiaries and the UFG entities. The financial position, operation, and cash flow of the UFG entities are material to total assets and liabilities presented on the consolidated balance sheets and revenue, expenses, and net income presented on the consolidated statements of operations and other comprehensive income (loss) as well as the cash flows from operating, investing, and financing activities presented on the consolidated statements of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provide any financial support to the UFG entities for the years ended December 31, 2025, 2024 and 2023. The Company had no contractual obligation to provide financial support to the VIEs as of December 31, 2025 and 2024. The amount of the revenue-producing assets held by the VIEs was $3,256,931, including $755,667 of bakery production equipment, $160,475 of office equipment and furniture, and $2,340,789 of leasehold improvement, with the accumulated depreciation of $1,120,550, so net of these property, plant, and equipment was $2,136,381 as of December 31, 2025. The amount of the revenue-producing assets held by the VIEs was $2,431,913, including $621,010 of bakery production equipment, $122,095 of office equipment and furniture, and $1,688,808 of leasehold improvement, with the accumulated depreciation of $1,352,848, so net of these property, plant, and equipment was $1,079,065 as of December 31, 2024. In addition to property and equipment, the VIEs also hold other operating assets, including cash and cash equivalents, receivables, and inventories, as reflected in the table below. The following financial statement amounts and balances of the UFG entities were included in the accompanying consolidated financial statements after elimination of intercompany transactions and balances:</w:t>
      </w:r>
    </w:p>
    <w:p>
      <w:pPr>
        <w:pStyle w:val="TextBody"/>
        <w:bidi w:val="0"/>
        <w:spacing w:before="0" w:after="0"/>
        <w:ind w:left="0" w:right="0" w:hanging="0"/>
        <w:jc w:val="left"/>
        <w:rPr>
          <w:caps w:val="false"/>
          <w:smallCaps w:val="false"/>
        </w:rPr>
      </w:pPr>
      <w:r>
        <w:rPr>
          <w:caps w:val="false"/>
          <w:smallCaps w:val="false"/>
        </w:rPr>
        <w:t> </w:t>
      </w:r>
    </w:p>
    <w:tbl>
      <w:tblPr>
        <w:tblW w:w="5533" w:type="dxa"/>
        <w:jc w:val="left"/>
        <w:tblInd w:w="0" w:type="dxa"/>
        <w:tblLayout w:type="fixed"/>
        <w:tblCellMar>
          <w:top w:w="0" w:type="dxa"/>
          <w:left w:w="0" w:type="dxa"/>
          <w:bottom w:w="0" w:type="dxa"/>
          <w:right w:w="0" w:type="dxa"/>
        </w:tblCellMar>
      </w:tblPr>
      <w:tblGrid>
        <w:gridCol w:w="2120"/>
        <w:gridCol w:w="90"/>
        <w:gridCol w:w="195"/>
        <w:gridCol w:w="1309"/>
        <w:gridCol w:w="90"/>
        <w:gridCol w:w="90"/>
        <w:gridCol w:w="195"/>
        <w:gridCol w:w="1309"/>
        <w:gridCol w:w="135"/>
      </w:tblGrid>
      <w:tr>
        <w:trPr/>
        <w:tc>
          <w:tcPr>
            <w:tcW w:w="2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December 31, </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December 31, </w:t>
              <w:br/>
              <w:t>2024</w:t>
            </w:r>
          </w:p>
        </w:tc>
        <w:tc>
          <w:tcPr>
            <w:tcW w:w="135" w:type="dxa"/>
            <w:tcBorders/>
            <w:vAlign w:val="center"/>
          </w:tcPr>
          <w:p>
            <w:pPr>
              <w:pStyle w:val="TableContents"/>
              <w:bidi w:val="0"/>
              <w:spacing w:before="0" w:after="283"/>
              <w:jc w:val="left"/>
              <w:rPr/>
            </w:pPr>
            <w:r>
              <w:rPr/>
              <w:t> </w:t>
            </w:r>
          </w:p>
        </w:tc>
      </w:tr>
      <w:tr>
        <w:trPr/>
        <w:tc>
          <w:tcPr>
            <w:tcW w:w="21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assets</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0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10,276,952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0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15,584,071</w:t>
            </w:r>
          </w:p>
        </w:tc>
        <w:tc>
          <w:tcPr>
            <w:tcW w:w="135" w:type="dxa"/>
            <w:tcBorders/>
            <w:shd w:fill="CCEEFF" w:val="clear"/>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Non-current assets</w:t>
            </w:r>
          </w:p>
        </w:tc>
        <w:tc>
          <w:tcPr>
            <w:tcW w:w="90" w:type="dxa"/>
            <w:tcBorders/>
            <w:vAlign w:val="center"/>
          </w:tcPr>
          <w:p>
            <w:pPr>
              <w:pStyle w:val="TableContents"/>
              <w:bidi w:val="0"/>
              <w:spacing w:before="0" w:after="283"/>
              <w:jc w:val="left"/>
              <w:rPr/>
            </w:pPr>
            <w:r>
              <w:rPr/>
              <w:t> </w:t>
            </w:r>
          </w:p>
        </w:tc>
        <w:tc>
          <w:tcPr>
            <w:tcW w:w="195" w:type="dxa"/>
            <w:tcBorders>
              <w:bottom w:val="single" w:sz="12" w:space="0" w:color="000000"/>
            </w:tcBorders>
            <w:tcMar>
              <w:bottom w:w="28" w:type="dxa"/>
            </w:tcMar>
            <w:vAlign w:val="center"/>
          </w:tcPr>
          <w:p>
            <w:pPr>
              <w:pStyle w:val="TableContents"/>
              <w:bidi w:val="0"/>
              <w:spacing w:before="0" w:after="283"/>
              <w:jc w:val="left"/>
              <w:rPr/>
            </w:pPr>
            <w:r>
              <w:rPr/>
              <w:t> </w:t>
            </w:r>
          </w:p>
        </w:tc>
        <w:tc>
          <w:tcPr>
            <w:tcW w:w="1309"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7,505,321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5" w:type="dxa"/>
            <w:tcBorders>
              <w:bottom w:val="single" w:sz="12" w:space="0" w:color="000000"/>
            </w:tcBorders>
            <w:tcMar>
              <w:bottom w:w="28" w:type="dxa"/>
            </w:tcMar>
            <w:vAlign w:val="center"/>
          </w:tcPr>
          <w:p>
            <w:pPr>
              <w:pStyle w:val="TableContents"/>
              <w:bidi w:val="0"/>
              <w:spacing w:before="0" w:after="283"/>
              <w:jc w:val="left"/>
              <w:rPr/>
            </w:pPr>
            <w:r>
              <w:rPr/>
              <w:t> </w:t>
            </w:r>
          </w:p>
        </w:tc>
        <w:tc>
          <w:tcPr>
            <w:tcW w:w="1309"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5,950,096</w:t>
            </w:r>
          </w:p>
        </w:tc>
        <w:tc>
          <w:tcPr>
            <w:tcW w:w="135" w:type="dxa"/>
            <w:tcBorders/>
            <w:vAlign w:val="center"/>
          </w:tcPr>
          <w:p>
            <w:pPr>
              <w:pStyle w:val="TableContents"/>
              <w:bidi w:val="0"/>
              <w:spacing w:before="0" w:after="283"/>
              <w:jc w:val="left"/>
              <w:rPr/>
            </w:pPr>
            <w:r>
              <w:rPr/>
              <w:t> </w:t>
            </w:r>
          </w:p>
        </w:tc>
      </w:tr>
      <w:tr>
        <w:trPr/>
        <w:tc>
          <w:tcPr>
            <w:tcW w:w="21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assets</w:t>
            </w:r>
          </w:p>
        </w:tc>
        <w:tc>
          <w:tcPr>
            <w:tcW w:w="90" w:type="dxa"/>
            <w:tcBorders/>
            <w:shd w:fill="CCEEFF" w:val="clear"/>
            <w:vAlign w:val="center"/>
          </w:tcPr>
          <w:p>
            <w:pPr>
              <w:pStyle w:val="TableContents"/>
              <w:bidi w:val="0"/>
              <w:spacing w:before="0" w:after="283"/>
              <w:jc w:val="left"/>
              <w:rPr/>
            </w:pPr>
            <w:r>
              <w:rPr/>
              <w:t> </w:t>
            </w:r>
          </w:p>
        </w:tc>
        <w:tc>
          <w:tcPr>
            <w:tcW w:w="19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0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17,782,273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0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21,534,167</w:t>
            </w:r>
          </w:p>
        </w:tc>
        <w:tc>
          <w:tcPr>
            <w:tcW w:w="135" w:type="dxa"/>
            <w:tcBorders/>
            <w:shd w:fill="CCEEFF" w:val="clear"/>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liabilities</w:t>
            </w:r>
          </w:p>
        </w:tc>
        <w:tc>
          <w:tcPr>
            <w:tcW w:w="9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0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9,266,770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0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7,815,353</w:t>
            </w:r>
          </w:p>
        </w:tc>
        <w:tc>
          <w:tcPr>
            <w:tcW w:w="135" w:type="dxa"/>
            <w:tcBorders/>
            <w:vAlign w:val="center"/>
          </w:tcPr>
          <w:p>
            <w:pPr>
              <w:pStyle w:val="TableContents"/>
              <w:bidi w:val="0"/>
              <w:spacing w:before="0" w:after="283"/>
              <w:jc w:val="left"/>
              <w:rPr/>
            </w:pPr>
            <w:r>
              <w:rPr/>
              <w:t> </w:t>
            </w:r>
          </w:p>
        </w:tc>
      </w:tr>
      <w:tr>
        <w:trPr/>
        <w:tc>
          <w:tcPr>
            <w:tcW w:w="21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Non-current liabilities</w:t>
            </w:r>
          </w:p>
        </w:tc>
        <w:tc>
          <w:tcPr>
            <w:tcW w:w="90"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2,719,413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2,289,553</w:t>
            </w:r>
          </w:p>
        </w:tc>
        <w:tc>
          <w:tcPr>
            <w:tcW w:w="135" w:type="dxa"/>
            <w:tcBorders/>
            <w:shd w:fill="CCEEFF" w:val="clear"/>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liabilities</w:t>
            </w:r>
          </w:p>
        </w:tc>
        <w:tc>
          <w:tcPr>
            <w:tcW w:w="90" w:type="dxa"/>
            <w:tcBorders/>
            <w:vAlign w:val="center"/>
          </w:tcPr>
          <w:p>
            <w:pPr>
              <w:pStyle w:val="TableContents"/>
              <w:bidi w:val="0"/>
              <w:spacing w:before="0" w:after="283"/>
              <w:jc w:val="left"/>
              <w:rPr/>
            </w:pPr>
            <w:r>
              <w:rPr/>
              <w:t> </w:t>
            </w:r>
          </w:p>
        </w:tc>
        <w:tc>
          <w:tcPr>
            <w:tcW w:w="195"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09"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11,986,183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5"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09"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10,104,906</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585" w:type="dxa"/>
        <w:jc w:val="left"/>
        <w:tblInd w:w="0" w:type="dxa"/>
        <w:tblLayout w:type="fixed"/>
        <w:tblCellMar>
          <w:top w:w="0" w:type="dxa"/>
          <w:left w:w="0" w:type="dxa"/>
          <w:bottom w:w="0" w:type="dxa"/>
          <w:right w:w="0" w:type="dxa"/>
        </w:tblCellMar>
      </w:tblPr>
      <w:tblGrid>
        <w:gridCol w:w="1220"/>
        <w:gridCol w:w="90"/>
        <w:gridCol w:w="170"/>
        <w:gridCol w:w="1130"/>
        <w:gridCol w:w="90"/>
        <w:gridCol w:w="90"/>
        <w:gridCol w:w="170"/>
        <w:gridCol w:w="1130"/>
        <w:gridCol w:w="90"/>
        <w:gridCol w:w="90"/>
        <w:gridCol w:w="170"/>
        <w:gridCol w:w="1010"/>
        <w:gridCol w:w="135"/>
      </w:tblGrid>
      <w:tr>
        <w:trPr/>
        <w:tc>
          <w:tcPr>
            <w:tcW w:w="12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140"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Years Ended December 31,</w:t>
            </w:r>
          </w:p>
        </w:tc>
        <w:tc>
          <w:tcPr>
            <w:tcW w:w="135"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135" w:type="dxa"/>
            <w:tcBorders/>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revenue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10,185,183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11,344,079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9,365,730</w:t>
            </w:r>
          </w:p>
        </w:tc>
        <w:tc>
          <w:tcPr>
            <w:tcW w:w="135" w:type="dxa"/>
            <w:tcBorders/>
            <w:shd w:fill="CCEEFF" w:val="clear"/>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901,746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2,060,482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1,765,358</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 and principles of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in accordance with accounting principles generally accepted in the United States of America (“U.S. GAAP”) and pursuant to the rules and regulations of the Securities Exchange Commission and have been consistently applied. In the opinion of management, all adjustments (consisting of normal recurring accruals) considered necessary for a fair presentation have been included. The accompanying consolidated financial statements include the financial statements of the Company and its subsidiaries and the VIEs. All intercompany balances and transactions are eliminated upon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reflected in the consolidated financial statements, for the year ended December 31, 2025, the Company incurred a loss from operations of approximately $1.9 million and experienced significant cash outflows from investing activities of $45.8 million, including substantial investments in long-term debt instruments. Total cash and cash equivalents decreased by $3.5 million to $8.6 million as of December 31, 2025 from $12.1 million as of December 31, 2024, and as of December 31, 2025, negative working capital was approximately $2.9 million. In addition, the Company has experienced delays in the settlement of accounts payable and has extended payment terms with suppliers as part of its working capital management practices. These conditions, when considered in the aggregate, raise substantial doubt about the Company’s ability to continue as a going concern within one year after the issuance date of these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made payments for long term debt investments of $46.1 million. The increased long-term debt investments were part of the Company’s strategy to enhance returns on excess cash and expand its financing-related activities. These investments were approved in accordance with the Company’s internal approval processes. Management assessed the expected credit losses associated with these investments, taking into account the financial condition of the counterparties, contractual terms, repayment history, and available guarantees. Based on this assessment, the Company believes that there is no collectability issues on these long-term debts, and the management has indicated that it intends to improve liquidity through collection of returns from long-term debt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a negative working capital was approximately $2.9 million as of December 31, 2025, however, the negative working capital mainly includes deferred revenue of approximately $7.7 million, which was reported as current liability, but will not require cash payment in the future. The Company maintains a customer loyalty program by selling membership cards and giving free cash vouchers. The deferred revenue represents the aggregate amount of unredeemed membership cards and cash vouchers. The Company will recognize revenue when customers redeem the membership cards or cash vouchers in store purchases. The Management expects to spend about $3.1 million when the Company produces and sells the products and realizes the deferred revenue. Based on the Company’s historical experience, a significant portion of the redemption is expected to occur during the first two years after December 31, 2025 and the remaining between the third and fifth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also borrowed approximately $0.4 million short-term bank loans and $5.0 million long-term loans, respectively. The Company expects that they will be able to renew all of the existing bank loans upon the maturity based on their past experience and credit history.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on January 6, 2026, the Company entered into a sales agreement (the “Sales Agreement”), with AC Sunshine Securities LLC (the “Sales Agent”) relating to the offer and sale of our Class A ordinary shares, of par value $0.08 per share. In accordance with the Sales Agreement, the Company may offer Class A Ordinary Shares, from time to time through or to the Sales Agent, acting as a sales agent or principal, having an aggregate offering price of up to $219,375,000. The proceeds from the sales of our Class A ordinary shares will make cash available for use in its operations as working capital, if necessary.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indicated that it intends to improve liquidity through collection of returns from long-term debt investments, continued working capital management, and maintaining supplier relationships. And the Company has taken an intensive review of operations and expenditures, including selling, general and administration expenses, to identify and eliminate inefficiencies and redundancies in order to preserve cash while maintaining the business. Meanwhile, the Company’s controlling shareholder, Mr. Gang Li, has made pledges to provide continuous financial support to the Company for at least 12 months from the issuance of the consolidated financial statements as of and for the year ended December 31, 2025. The Company may also seek additional funding through debt financing when necessary. The Company believes that current cash and cash equivalents, cash flows provided by operating activities, the available bank facilities, the continuous support from the Company’s controlling shareholder, and the proceeds the Company received from subsequent offering will be sufficient to meet the working capital needs in the next 12 months from the date the consolidated financial statements were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Uses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preparing the consolidated financial statements in conformity with U.S. GAAP, management makes estimates and assumptions that affect the reported amounts of assets and liabilities and disclosure of contingent assets and liabilities at the date of the financial statements and the reported amounts of revenue and expenses during the reporting period. These estimates are based on information as of the date of the consolidated financial statements. Significant estimates required to be made by management include, but are not limited to, the assessment of the current expected credit losses for receivables and long term debts investments, valuation of inventories, useful lives of property and equipment and intangible assets, the recoverability of long-lived assets, realization of deferred tax assets and revenue recognition. Actual results could differ from those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includes currency on hand and deposits held by banks that can be added or withdrawn without limitation. The Company maintains a significant amount of its bank accounts in the PRC. The Company considers all highly liquid investment instruments with an original maturity of three months or less from the date of purchase to be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recognized and carried at original invoiced amount less an estimated allowance for credit losses, as necessary. Accounts are written off against the allowance after efforts at collection prove unsuccessful. As of December 31, 2025 and 2024, the allowance for credit losses was both $nil.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Long-term debt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debt investments are measured at amortized cost in accordance with applicable accounting guidance. Interest income is recognized using the effective interest method over the contractual term of the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these investments for expected credit losses in accordance with ASC 326 and records an allowance for credit losses based on lifetime expected losses, considering historical experience, current conditions, and reasonable and supportable forecasts. The Company monitors the creditworthiness of counterparties on an ongoing basis and updates its estimates as necessary.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from long-term debt investments is recognized using the effective interest method over the contractual term of the investment and is presented as a separate component within other income in the consolidated statements of operations and comprehensive income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Accounting Standards Update 2016-13 “Financial Instruments – Credit Losses (Topic 326), Measurement of Credit Losses on Financial Instruments,” which replaces the incurred loss methodology with a current expected loss methodology that is referred to as the current expected credit loss (“CECL”) methodology.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account receivables and other receivables included in prepaid expenses and other current assets on the consolidated balance sheets are within the scope of ASC Topic 326. The Company makes estimates of expected credit and collectability trends for the allowance for credit losses based upon assessment of various factors, including historical experience, the age of the accounts receivable and other receivables balances, credit-worthiness of the customers and other debtors, current economic conditions, reasonable and supportable forecasts of future economic conditions, and other factors that may affect its ability to collect from the customers and other debtors. The Company also provides specific provisions for allowance when facts and circumstances indicate that the receivable is unlikely to be collected.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Topic 326 is also applicable to short-term and long-term loans to third parties. Management estimates the allowance for credit losses on loans not sharing similar risk characteristics on an individual basis. The key factors considered when determining the above allowances for credit losses include estimated loan collection schedule, discount rate, and assets and financial performance of the borrowers.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expected credit losses are recorded as allowance for credit losses on the consolidated statements of operations and comprehensive income (loss). After all attempts to collect a receivable have failed, the receivable is written off against the allowance. In the event the Company recovers amounts previously reserved for, the Company will reduce the specific allowance for 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Lessee accounting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FASB ASC No. 842, Leases (“Topic 842”). The Company leases office spaces, bakery store facilities, employee dormitories, and a vehicle, which are classified as operating leases in accordance with Topic 842. Under Topic 842, lessees are required to recognize the following for all leases (with the exception of short-term leases, usually with initial term of 12 months or less) on the commencement date: (i) lease liability, which is a lessee’s obligation to make lease payments arising from a lease, measured on a discounted basis; and (ii) right-of-use (“ROU”) asset, which is an asset that represents the lessee’s right to use, or control the use of, a specified asset for the lease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commencement date, the Company recognizes the lease liability at the present value of the lease payments not yet paid, discounted using the interest rate implicit in the lease or, if that rate cannot be readily determined, the Company’s incremental borrowing rate for the same term as the underlying lease. The ROU asset is recognized initially at cost, which primarily comprises the initial amount of the lease liability, plus any initial direct costs incurred, consisting mainly of brokerage commissions, less any lease incentives received. All ROU assets are reviewed for impairment annually. There was no impairment for ROU lease assets as of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response to the large volume of anticipated lease concessions to be granted related to the effects of the COVID-19 pandemic, and the resultant expected cost and complexity of applying the lease modification requirements in Topic 842, the FASB issued Staff Q&amp;A—Topic 842 and Topic 840: Accounting for Lease Concessions Related to the Effects of the COVID-19 Pandemic in April 2020 as interpretive guidance to provide clarity in response to the crisis. The FASB staff indicated that it would be acceptable for entities to make an election to account for lease concessions related to the effects of the COVID-19 pandemic consistent with how they would be accounted for as though enforceable rights and obligations for those concessions existed in the original contract. Consequently, for such lease concessions, an entity will not need to reassess each existing contract to determine whether enforceable rights and obligations for concessions exist and an entity can elect to apply or not to apply the lease modification guidance in Topic 842 to those contracts. The election is available for concessions related to the effects of the COVID-19 pandemic that result in the total payments required by the modified contract being substantially the same as or less than total payments required by the original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COVID-19 pandemic, the Company renegotiated the leases for some of its PRC stores and New York stores. Based on the nature of the agreements reached with the landlords, the Company has accounted for rent concessions as if they were part of the enforceable rights and obligations of the existing lease contracts and did not account for the concessions as lease modifications. As of the date of this report, the Company has received a total of lease concessions amounting to $1,265,288 since fiscal year 2020, and among which, $70,332, $2,633 and $110,439 was received during the years ended December 31, 2025, 2024 and 2023, respectively. The Company accounted for the concession as negative variable lease payments with a corresponding reduction in the lease liability. The Company has continued to recognize lease expenses on a straight-line basis for its leases over the related lease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Lessor accounting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Rental income from leasing arrangements is accounted for in accordance with ASC 842, Leases. Rental income is recognized on a straight-line basis over the lease term and is presented as other income in the consolidated statements of operations and comprehensive income (loss), as such leasing activities are not part of the Company’s primary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Inventories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of the Company consist of ingredient materials, finished goods, packaging materials, and other materials. Inventories are stated at the lower of cost or net realizable value, on a weighted average basis. Costs include the cost of ingredient materials, direct labor, and related production overhead. Any excess of the cost over the net realizable value of each item of inventories is recognized as a provision for diminution in the value of inventories. Net realizable value is the estimated selling price in the normal course of business less any costs to complete and sell products. The Company periodically evaluates inventories for their net realizable value adjustments and reduces the carrying value of those inventories that are obsolete or in excess of the forecasted usage to their estimated net realizable value based on various factors including aging and expiration dates, as applicable, taking into consideration historical and expected future product sales. For the years ended December 31, 2025, 2024 and 2023, the Company did not record a material inventory reserve as any write-downs for slow-moving, obsolete, or expired inventory were not significant.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cost less accumulated depreciation and amortization. Depreciation and amortization of property and equipment are provided using the straight-line method over their expected useful lives, as follows:</w:t>
      </w:r>
    </w:p>
    <w:p>
      <w:pPr>
        <w:pStyle w:val="TextBody"/>
        <w:bidi w:val="0"/>
        <w:spacing w:before="0" w:after="0"/>
        <w:ind w:left="0" w:right="0" w:hanging="0"/>
        <w:jc w:val="both"/>
        <w:rPr>
          <w:caps w:val="false"/>
          <w:smallCaps w:val="false"/>
        </w:rPr>
      </w:pPr>
      <w:r>
        <w:rPr>
          <w:caps w:val="false"/>
          <w:smallCaps w:val="false"/>
        </w:rPr>
        <w:t> </w:t>
      </w:r>
    </w:p>
    <w:tbl>
      <w:tblPr>
        <w:tblW w:w="5755" w:type="dxa"/>
        <w:jc w:val="left"/>
        <w:tblInd w:w="0" w:type="dxa"/>
        <w:tblLayout w:type="fixed"/>
        <w:tblCellMar>
          <w:top w:w="0" w:type="dxa"/>
          <w:left w:w="0" w:type="dxa"/>
          <w:bottom w:w="0" w:type="dxa"/>
          <w:right w:w="0" w:type="dxa"/>
        </w:tblCellMar>
      </w:tblPr>
      <w:tblGrid>
        <w:gridCol w:w="2795"/>
        <w:gridCol w:w="90"/>
        <w:gridCol w:w="2870"/>
      </w:tblGrid>
      <w:tr>
        <w:trPr/>
        <w:tc>
          <w:tcPr>
            <w:tcW w:w="279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87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Useful life</w:t>
            </w:r>
          </w:p>
        </w:tc>
      </w:tr>
      <w:tr>
        <w:trPr/>
        <w:tc>
          <w:tcPr>
            <w:tcW w:w="279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Commercial property (hotel unit) </w:t>
            </w:r>
          </w:p>
        </w:tc>
        <w:tc>
          <w:tcPr>
            <w:tcW w:w="9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 years</w:t>
            </w:r>
          </w:p>
        </w:tc>
      </w:tr>
      <w:tr>
        <w:trPr/>
        <w:tc>
          <w:tcPr>
            <w:tcW w:w="27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Bakery production equipment</w:t>
            </w:r>
          </w:p>
        </w:tc>
        <w:tc>
          <w:tcPr>
            <w:tcW w:w="9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5-8 years</w:t>
            </w:r>
          </w:p>
        </w:tc>
      </w:tr>
      <w:tr>
        <w:trPr/>
        <w:tc>
          <w:tcPr>
            <w:tcW w:w="279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Office equipment and furniture</w:t>
            </w:r>
          </w:p>
        </w:tc>
        <w:tc>
          <w:tcPr>
            <w:tcW w:w="9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 years</w:t>
            </w:r>
          </w:p>
        </w:tc>
      </w:tr>
      <w:tr>
        <w:trPr/>
        <w:tc>
          <w:tcPr>
            <w:tcW w:w="27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Automobiles</w:t>
            </w:r>
          </w:p>
        </w:tc>
        <w:tc>
          <w:tcPr>
            <w:tcW w:w="9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 years</w:t>
            </w:r>
          </w:p>
        </w:tc>
      </w:tr>
      <w:tr>
        <w:trPr/>
        <w:tc>
          <w:tcPr>
            <w:tcW w:w="279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Leasehold improvement</w:t>
            </w:r>
          </w:p>
        </w:tc>
        <w:tc>
          <w:tcPr>
            <w:tcW w:w="9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Lesser of useful life and lease term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owns a commercial property unit located within a hotel building. The asset is accounted for as property and equipment under U.S. GAAP. The purchase price was not separately allocated between land use rights and building components as such allocation is not practicable. Accordingly, the asset is accounted for as a single property and equipment asset and depreciated over its estimated useful life. The Company evaluates the classification of real estate assets under U.S. GAAP based on their intended use and the nature of the Company’s involvement. Although certain properties generate rental income, such assets are classified as property and equipment when they are held for use in the Company’s operations and the Company is actively involved in managing and operating the property. Rental activities are considered part of the Company’s broader business operations rather than passive investment activities. Management determined the useful life of the commercial property unit based on the expected period over which the asset will generate economic benefits, taking into consideration the physical condition and intended use of the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Expenditures for repair and maintenance, which do not materially extend the useful lives of the assets, are charged to expenses as incurred. Expenditures for major renewals and betterments which substantially extend the useful life of assets are capitalized. The cost and related accumulated depreciation of assets retired or sold are removed from the respective accounts, and any gain or loss is recognized in the consolidated statements of operations and comprehensive income (loss) in other income or expenses.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consist primarily of purchased software. Intangible assets are stated at cost less accumulated amortization, which are amortized using the straight-line method with the estimated useful lives of 8 years. Management determines the useful life based on the expected period over which the software will provide economic benefits, taking into consideration the expected usage of the systems, technological obsolescence, and the Company’s historical experience with similar software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Impairment of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Long-lived assets with finite lives, including property and equipment, ROU assets, and intangible assets, are reviewed for impairment in accordance with ASC 360 whenever events or changes in circumstances indicate that the carrying amount of an asset or asset group may not be recoverable. ROU assets are evaluated for impairment under ASC 360 as required by ASC 842.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assets to be held and used, recoverability is assessed by comparing the carrying amount of an asset or asset group to the undiscounted future cash flows expected to be generated.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assesses impairment at the lowest level of identifiable cash flows: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its retail operations, which are centrally managed, individual outlets do not generate independently identifiable cash flows. Accordingly, impairment is assessed at the asset group / segment level.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assets that generate independently identifiable cash flows, such as the Company’s commercial property, impairment is assessed separately.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carrying amount exceeds the undiscounted future cash flows, an impairment loss is recognized based on the excess of the carrying amount over fair value. No impairment losses were recognized for the years ended December 31, 2025, 2024 and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ASC 606, </w:t>
      </w:r>
      <w:r>
        <w:rPr>
          <w:rFonts w:ascii="Times New Roman;Times;Serif" w:hAnsi="Times New Roman;Times;Serif"/>
          <w:b w:val="false"/>
          <w:i/>
          <w:caps w:val="false"/>
          <w:smallCaps w:val="false"/>
          <w:sz w:val="20"/>
        </w:rPr>
        <w:t>Revenue from Contracts with Customers </w:t>
      </w:r>
      <w:r>
        <w:rPr>
          <w:rFonts w:ascii="Times New Roman;Times;Serif" w:hAnsi="Times New Roman;Times;Serif"/>
          <w:b w:val="false"/>
          <w:i w:val="false"/>
          <w:caps w:val="false"/>
          <w:smallCaps w:val="false"/>
          <w:sz w:val="20"/>
        </w:rPr>
        <w:t>(“ASC 606”), for revenue recognition. ASC 606 establishes principles for reporting information about the nature, amount, timing, and uncertainty of revenue and cash flows arising from an entity’s contracts to provide goods or services to customers. The core principle requires an entity to recognize revenue to depict the transfer of goods or services to customers in an amount that reflects the consideration that it expects to be entitled to receive in exchange for those goods or services recognized, as performance obligations are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currently generates its revenue through its bakery/café stores as well as through online sales. The Company recognizes revenue from bakery/café sales upon delivery of the related food and other products to the customer and fulfillment of all performance obligations. Revenue is recognized net of any discounts, sales incentives, sales taxes, and value added taxes that are collected from customers and remitted to tax authorities.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PRC Stores, the Company sells membership cards that do not have an expiration date and from which the Company does not deduct non-usage fees from outstanding card balances. Membership cards are reloadable and redeemable at any of the Company’s store locations. Amounts loaded into these cards are initially recorded as deferred revenue. When membership cards are redeemed at stores, the Company recognizes revenue and reduces the deferred revenue. While the Company continues to honor all membership cards presented for payments, management determines the likelihood of redemption to be remote for certain cards with long periods of inactivity (“breakage”), which is five years after the last usage, based upon the Company’s historical redemption patterns. Membership card breakage is recorded as revenue in the consolidated statements of operations and comprehensive income (loss). Membership card breakage was immaterial for the years ended December 31, 2025, 2024 and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PRC Stores, the Company maintains a customer loyalty program in which customers earn free cash vouchers when purchasing or reloading membership cards at certain amount. These cash vouchers typically do not expire, except for certain vouchers given out at special occasions, which usually state an expiration date and can only be exchanged for certain seasonal products or specialty cakes. The Company establishes corresponding liabilities in deferred revenue for the membership cards and the free cash vouchers upon issuance. The Company allocates the consideration received proportionately between the membership cards and cash vouchers based on their face values. Revenue is recognized at the allocated amount upon redemption of membership cards and cash vouchers, at which point, the Company delivers products to customers and reduces the deferred revenue. Unredeemed cash vouchers will be recognized as revenue upon their expiration dates, if any, or five years after their issuance if there are no stated expiration dates, when management determines the likelihood of redemption to be remote.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Contract balances and remaining performance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balances typically arise when a difference in timing between the transfer of control to the customer and receipt of consideration occurs. The Company did not have contract assets as of December 31, 2025 and 2024. The Company’s contract liabilities, which are reflected in its consolidated balance sheets as deferred revenue of $7,670,555 and $6,697,964 as of December 31, 2025 and 2024, respectively, consist primarily of customer payments for the membership cards and the fair value of the cash vouchers under the Company’s customer loyalty programs. These amounts represent the Company’s unsatisfied performance obligations as of the balance sheet dates. The amount of revenue recognized in the years ended December 31, 2025, 2024 and 2023 that was included in the opening deferred revenue was $5,229,530, $5,449,243 and $6,559,028, respectively. As of December 31, 2025, the aggregate amount of unredeemed membership cards and cash vouchers was $7,670,555. The Company will recognize revenue when customers redeem the membership cards or cash vouchers in store purchases. Based on the Company’s historical experience, a significant portion of the redemption is expected to occur during the first two years after December 31, 2025 and the remaining between the third and fifth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Disaggregation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disaggregates its revenue by geographic areas, as the Company believes it best depicts how the nature, amount, timing, and uncertainty of the revenue and cash flows are affected by economic factors. The Company’s disaggregation of revenue for the years ended December 31, 2025, 2024 and 2023 is disclosed in Note 16 of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of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1 — inputs to the valuation methodology are quoted prices (unadjusted) for identical assets or liabilities in active markets.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2 — inputs to the valuation methodology include quoted prices for similar assets and liabilities in active markets, quoted market prices for identical or similar assets in markets that are not active, inputs other than quoted prices that are observable, and inputs derived from or corroborated by observable market data.</w:t>
            </w:r>
          </w:p>
        </w:tc>
      </w:tr>
    </w:tbl>
    <w:p>
      <w:pPr>
        <w:pStyle w:val="TextBody"/>
        <w:bidi w:val="0"/>
        <w:spacing w:before="0" w:after="0"/>
        <w:ind w:left="0" w:right="0" w:hanging="0"/>
        <w:jc w:val="both"/>
        <w:rPr>
          <w:caps w:val="false"/>
          <w:smallCaps w:val="false"/>
        </w:rPr>
      </w:pPr>
      <w:r>
        <w:rPr>
          <w:caps w:val="false"/>
          <w:smallCaps w:val="false"/>
        </w:rPr>
        <w:t> </w:t>
      </w:r>
    </w:p>
    <w:tbl>
      <w:tblPr>
        <w:tblW w:w="5755" w:type="dxa"/>
        <w:jc w:val="left"/>
        <w:tblInd w:w="0" w:type="dxa"/>
        <w:tblLayout w:type="fixed"/>
        <w:tblCellMar>
          <w:top w:w="0" w:type="dxa"/>
          <w:left w:w="0" w:type="dxa"/>
          <w:bottom w:w="0" w:type="dxa"/>
          <w:right w:w="0" w:type="dxa"/>
        </w:tblCellMar>
      </w:tblPr>
      <w:tblGrid>
        <w:gridCol w:w="105"/>
        <w:gridCol w:w="200"/>
        <w:gridCol w:w="54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4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3 — inputs to the valuation methodology are unobservable.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disclosed, the fair value of the Company’s financial instruments, including cash and cash equivalents, accounts receivable, other current assets, current portion of long-term loan to a third party, short-term bank loans, accounts payable, due to a related party, taxes payable, current portion of long-term bank loans, current portion of operating lease liabilities, current and other current liabilities, approximates the fair value of the respective assets and liabilities as of December 31, 2025 and 2024 based upon the short-term nature of the assets and liabilities. The fair value of long-term debt investment and long-term bank loans, as well as non-current portion of operating lease liabilities approximates their recorded values as their stated interest rates approximate the rates currently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currency translation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functional currency of the Company’s PRC subsidiaries and the UFG entities is the Chinese Yuan (“RMB”) and the functional currency of the Company’s U.S. subsidiaries is the U.S. Dollars (“US$”). RMB amounts in the Company’s consolidated financial statements have been translated into the reporting currency US$. Assets and liabilities of the Company are translated at the exchange rate at each reporting period end date. Equity is translated at historical rates. Income and expense accounts are translated at the average rate of exchange during the reporting period. The resulting translation adjustments are reported under other comprehensive income. Because cash flows are translated based on the average translation rate, amounts related to assets and liabilities reported on the statement of cash flows will not necessarily agree with changes in the corresponding balances on the balance sheets. Gains and losses resulting from the translations of foreign currency transactions and balances are reflected in the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RMB is not freely convertible into foreign currency and all foreign exchange transactions must take place through authorized institutions. No representation is made that the RMB amounts could have been, or could be, converted into US$ at the rates used in translation.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outlines the currency exchange rates that were used in creating the consolidated financial statements in this report:</w:t>
      </w:r>
    </w:p>
    <w:p>
      <w:pPr>
        <w:pStyle w:val="TextBody"/>
        <w:bidi w:val="0"/>
        <w:spacing w:before="0" w:after="0"/>
        <w:ind w:left="0" w:right="0" w:hanging="0"/>
        <w:jc w:val="both"/>
        <w:rPr>
          <w:caps w:val="false"/>
          <w:smallCaps w:val="false"/>
        </w:rPr>
      </w:pPr>
      <w:r>
        <w:rPr>
          <w:caps w:val="false"/>
          <w:smallCaps w:val="false"/>
        </w:rPr>
        <w:t> </w:t>
      </w:r>
    </w:p>
    <w:tbl>
      <w:tblPr>
        <w:tblW w:w="7535" w:type="dxa"/>
        <w:jc w:val="left"/>
        <w:tblInd w:w="0" w:type="dxa"/>
        <w:tblLayout w:type="fixed"/>
        <w:tblCellMar>
          <w:top w:w="0" w:type="dxa"/>
          <w:left w:w="0" w:type="dxa"/>
          <w:bottom w:w="0" w:type="dxa"/>
          <w:right w:w="0" w:type="dxa"/>
        </w:tblCellMar>
      </w:tblPr>
      <w:tblGrid>
        <w:gridCol w:w="1805"/>
        <w:gridCol w:w="90"/>
        <w:gridCol w:w="90"/>
        <w:gridCol w:w="1625"/>
        <w:gridCol w:w="90"/>
        <w:gridCol w:w="90"/>
        <w:gridCol w:w="90"/>
        <w:gridCol w:w="1625"/>
        <w:gridCol w:w="90"/>
        <w:gridCol w:w="90"/>
        <w:gridCol w:w="90"/>
        <w:gridCol w:w="1625"/>
        <w:gridCol w:w="135"/>
      </w:tblGrid>
      <w:tr>
        <w:trPr/>
        <w:tc>
          <w:tcPr>
            <w:tcW w:w="18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62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w:t>
              <w:br/>
              <w:t>2025</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62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w:t>
              <w:br/>
              <w:t>2024</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62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w:t>
              <w:br/>
              <w:t>2023</w:t>
            </w:r>
          </w:p>
        </w:tc>
        <w:tc>
          <w:tcPr>
            <w:tcW w:w="135" w:type="dxa"/>
            <w:tcBorders/>
            <w:vAlign w:val="center"/>
          </w:tcPr>
          <w:p>
            <w:pPr>
              <w:pStyle w:val="TableContents"/>
              <w:bidi w:val="0"/>
              <w:spacing w:before="0" w:after="283"/>
              <w:jc w:val="center"/>
              <w:rPr/>
            </w:pPr>
            <w:r>
              <w:rPr/>
              <w:t> </w:t>
            </w:r>
          </w:p>
        </w:tc>
      </w:tr>
      <w:tr>
        <w:trPr/>
        <w:tc>
          <w:tcPr>
            <w:tcW w:w="1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Year-end spot rate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US$1=RMB6.9956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US$1=RMB7.2985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US$1=RMB7.0798</w:t>
            </w:r>
          </w:p>
        </w:tc>
        <w:tc>
          <w:tcPr>
            <w:tcW w:w="135" w:type="dxa"/>
            <w:tcBorders/>
            <w:shd w:fill="CCEEFF" w:val="cle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Average rate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US$1=RMB7.1876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US$1=RMB7.1887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US$1=RMB7.0748</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current income taxes in accordance with the laws of the relevant tax authorities. Deferred income taxes are recognized when temporary differences exist between the tax bases of assets and liabilities and their reported amounts in the consolidated financial statements.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when necessary, to reduce deferred tax assets to the amount expected to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uncertain tax position is recognized as a benefit only if it is “more likely than not” that the tax position would be sustained in a tax examination. The amount recognized is the largest amount of tax benefit that is greater than 50% likely of being realized on examination. For tax positions not meeting the “more likely than not” test, no tax benefit is recorded. Penalties and interest incurred related to underpayment of income tax are classified as income tax expense in the period incurred. No penalties or interest relating to income taxes were incurred during the years ended December 31, 2025, 2024 and 2023. The Company does not believe there was any uncertain tax provision as of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operating subsidiary in China is subject to the income tax laws of the PRC. The Company’s operating subsidiaries in the United States are subject to the tax law of the United States. As of December 31, 2025, for the tax years ended December 31, 2021 through December 31, 2025, the Company’s PRC subsidiaries remained open for statutory examination by PRC tax authorities, and for the tax years ended December 31, 2023 through December 31, 2025, the Company’s U.S. subsidiaries remained open for statutory examination by the U.S. tax authorities.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Value added tax (“VAT”)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subsidiaries, Xinjiang United Family and its branch offices are general tax payers. The applicable VAT rate is 13% based on the Chinese tax law. VAT is reported as a deduction to revenue when incurred. Entities that are VAT general taxpayers are allowed to offset qualified input VAT paid to suppliers against their output VAT liabilities. The UFG entities were formed as individually-owned businesses, which are generally subject to a lower VAT rate of 3% and the local PRC tax authority has the jurisdiction to assess and determine their VAT obligation or exemption on a case-by-case basis. From January 1, 2023 to December 31, 2027, based on the new tax regulation, individually-owned businesses whose monthly deemed Taxable Net Income (“TNI”) is less than RMB100,000 are exempted from paying VAT. All but four of the UFG entities are currently exempted from paying VAT, since the deemed TNI of each of these UFG entities is currently less than RMB100,000 for the year ended December 31, 2025. If customers need to obtain a special VAT invoice, the UFG entities that are exempted from paying VAT would apply to the local tax authority to issue the special VAT invoice on their behalf, with the tax authority levying VAT at a rate of 1%. Their VAT eligibility is subject to periodical reassessment, and they may lose or regain the exemption status as determined by the tax authorities on a case-by-case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parties include entities and individuals that have the ability to control or exercise significant influence over the Company, including the Company’s controlling shareholder and entities under common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with related parties are carried out in the normal course of business and are measured at the amounts agreed between the parties. The Company discloses related party relationships, transactions, and outstanding balances in accordance with applicable accounting guidance.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transactions involve guarantees or financial support arrangements from related parties. The Company evaluates such arrangements in accordance with applicable accounting standards and discloses them where relevant.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accounting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warrants as either equity-classified or liability-classified instruments based on an assessment of the warrant’s specific terms and applicable authoritative guidance in ASC 480</w:t>
      </w:r>
      <w:r>
        <w:rPr>
          <w:rFonts w:ascii="Times New Roman;Times;Serif" w:hAnsi="Times New Roman;Times;Serif"/>
          <w:b w:val="false"/>
          <w:i/>
          <w:caps w:val="false"/>
          <w:smallCaps w:val="false"/>
          <w:sz w:val="20"/>
        </w:rPr>
        <w:t>, “Distinguishing Liabilities from Equity”</w:t>
      </w:r>
      <w:r>
        <w:rPr>
          <w:rFonts w:ascii="Times New Roman;Times;Serif" w:hAnsi="Times New Roman;Times;Serif"/>
          <w:b w:val="false"/>
          <w:i w:val="false"/>
          <w:caps w:val="false"/>
          <w:smallCaps w:val="false"/>
          <w:sz w:val="20"/>
        </w:rPr>
        <w:t> (“ASC 480”) and ASC Topic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ordinary shares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interim period end date while the warrants are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issued or modified warrants that meet all of the criteria for equity classification, the warrants are required to be recorded as a component of equity at the time of issuance. For issued or modified warrants that do not meet all the criteria for equity classification, the warrants are required to be recorded as liabilities at their initial fair value on the date of issuance, and each balance sheet date thereafter. Changes in the estimated fair value of the warrants are recognized as a non-cash gain or loss on the statements of operations and comprehensive income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warrants issued meet the criteria for equity classification under ASC 815, therefore, the warrants are classified as equity as of reporting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Earnings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computes earnings per share (“EPS”) in accordance with ASC 260, </w:t>
      </w:r>
      <w:r>
        <w:rPr>
          <w:rFonts w:ascii="Times New Roman;Times;Serif" w:hAnsi="Times New Roman;Times;Serif"/>
          <w:b w:val="false"/>
          <w:i/>
          <w:caps w:val="false"/>
          <w:smallCaps w:val="false"/>
          <w:sz w:val="20"/>
        </w:rPr>
        <w:t>Earnings per Share</w:t>
      </w:r>
      <w:r>
        <w:rPr>
          <w:rFonts w:ascii="Times New Roman;Times;Serif" w:hAnsi="Times New Roman;Times;Serif"/>
          <w:b w:val="false"/>
          <w:i w:val="false"/>
          <w:caps w:val="false"/>
          <w:smallCaps w:val="false"/>
          <w:sz w:val="20"/>
        </w:rPr>
        <w:t> (“ASC 260”). ASC 260 requires companies with complex capital structures to present basic and diluted EPS. Basic EPS is measured as net income divided by the weighted average ordinary shares outstanding for the period. Diluted presents the dilutive effect on a per share basis of potential ordinary shares (e.g., convertible securities, options, and warrants) as if they had been converted at the beginning of the periods presented, or issuance date, if later. Potential ordinary shares that have an anti-dilutive effect (i.e., those that increase income per share or decrease loss per share) are excluded from the calculation of diluted EPS. As of December 31, 2025 and 2024, there were no dilutive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Comprehensive income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income (loss) consists of two components, net income and other comprehensive gain (loss). The foreign currency translation gain (loss) resulting from the translation of the financial statements expressed in RMB to US$ is reported in other comprehensive gain (loss) in the consolidated statements of operations and comprehensive income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Statement of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230, “Statement of Cash Flows”, cash flows from the Company’s operations are formulated based upon the local currencies. As a result, amounts related to assets and liabilities reported on the statements of cash flows will not necessarily agree with changes in the corresponding balances on the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the FASB issued ASU No. 2023-07, Improvements to Reportable Segment Disclosures (Topic 280). This ASU updates reportable segment disclosure requirements by requiring disclosures of significant reportable segment expenses that are regularly provided to the Chief Operating Decision Maker (“CODM”) and included within each reported measure of a segment’s profit or loss. This ASU also requires disclosure of the title and position of the individual identified as the CODM and an explanation of how the CODM uses the reported measures of a segment’s profit or loss in assessing segment performance and deciding how to allocate resources. The Company adopted this ASU commencing January 1, 2024 retrospectively to all periods presented in the consolidated financial statement and the adoption of the ASU does not have a material effect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identified the measure of segment profit or loss reviewed by the CODM and the significant segment expenses regularly provided to the CODM, which are disclosed in the accompanying segment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the management approach in determining its operating segments. The management approach considers the internal reporting used by the Company’s CODM. The Company’s CODM has been identified as the Chief Executive Officer (“CEO”) who reviews the financial information of separate operating segments when making decisions about allocating resources and assessing performance of the Company. The CODM evaluates segment performance and allocates resources primarily based on segment revenue and operating income. Significant segment expenses that are regularly provided to the CODM are included in the measure of segment profit or loss and are disclosed in the segment reporting note. Management, including the CODM, reviews operation results by locations. Based on management’s assessment, the Company has determined that it has two reportable segments: China and the United States. Other operations are not material and are included within the United States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and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Political and economic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operations of the Company are located in the PRC and the United States. Accordingly, the Company’s business, financial condition, and results of operations may be influenced by political, economic, and legal environments in the PRC and the United States, as well as by the general state of the PRC and United States economy. The Company’s results may be adversely affected by changes in the political, regulatory, and social conditions in the PRC and the United States. Although the Company has not experienced losses from these situations and believes that it is in compliance with existing laws and regulations including its organization and structure disclosed in Note 1, such experience may not be indicative of future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Foreign currency exchange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of the Company’s revenue and expense transactions are denominated in RMB and most of the Company and its subsidiaries’ assets and liabilities are denominated in RMB. RMB is not freely convertible into foreign currencies. In the PRC, certain foreign exchange transactions are required by law to be transacted only by authorized financial institutions at exchange rates set by the People’s Bank of China (“PBOC”). Remittances in currencies other than RMB by the Company in China must be processed through the PBOC or other China foreign exchange regulatory bodies which require certain supporting documentation in order to affect the remittance.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$8,453,345 and $11,943,199 of the Company’s cash was on deposit at financial institutions in the PRC. On May 1, 2015, China’s new Deposit Insurance Regulation came into effect, pursuant to which banking financial institutions, such as commercial banks, established in China are required to purchase deposit insurance for deposits in RMB and in foreign currency placed with them. This Deposit Insurance Regulation would not be effective in providing complete protection for the Company’s accounts in the PRC, as its aggregate deposits are much higher than the compensation limit. As of December 31, 2025, a significant balance of cash was on deposit with two banks, and total unprotected cash amounted to approximately $8.2 million as of December 31, 2025. However, the Company has not experienced any losses in such accounts and believes that the risk of failure of any of these PRC banks is remote.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$85,782 and $107,550 of the Company’s cash was on deposit at financial institutions in the U.S. which were insured by the Federal Deposit Insurance Corporation subject to certain limitations. The Company has not experienced any losses in such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 Company had long term debt investments of $53,138,801 and $6,359,014, respectively, and long term loan to a third party of $2,000,000 as of December 31, 2024. These investments are measured at amortized cost. The Company evaluates these investments for expected credit losses in accordance with ASC 326, Financial Instruments – Credit Losses, and recognizes an allowance for credit losses based on lifetime expected losses, considering historical experience, current conditions, and reasonable and supportable forecasts. As of December 31, 2025 and 2024, no material allowance for credit losses was recorded.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exposed to credit risk primarily from its long-term debt investments and accounts receivable. As of December 31, 2025, a significant portion of the Company’s long-term debt investments is concentrated in a limited number of counterparties. The Company manages this risk by performing credit evaluations, monitoring counterparty performance, and obtaining guarantees where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2024 and 2023, the Company’s substantial assets were located in the PRC and the U.S. and the Company’s substantial revenue was derived from its subsidiaries and the UFG entities located in the PRC and the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typically unsecured and derived from revenue earned from customers, thereby exposed to credit risk. The risk is mitigated by the Company’s assessment of its customers’ creditworthiness and its ongoing monitoring of outstanding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Concentrations</w:t>
      </w:r>
    </w:p>
    <w:p>
      <w:pPr>
        <w:pStyle w:val="TextBody"/>
        <w:bidi w:val="0"/>
        <w:spacing w:before="0" w:after="0"/>
        <w:ind w:left="18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Company’s cash balance was concentrated in two bank accounts, representing 64.7% and 33.5% of total bank balances, respectively. As of December 31, 2024, the Company’s cash balance was concentrated in two bank accounts, representing 74.6% and 22.7% of total bank balances, respectively. The Company has not experienced any losses in such accounts and believes that the risk of failure of any of these PRC banks is remote.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single customer accounted for more than 10% of the Company’s revenue for the year ended December 31, 2025. One customer accounted for 11.0% of the Company’s revenue for the year ended December 31, 2024. No single customer accounted for more than 10% of the Company’s revenue for the year ended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no customer accounted for more than 10% of the Company’s total accounts receivable balance. As of December 31, 2024, one customer accounted 10.9% of the Company’s total accounts receivable balance.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no supplier accounted for more than 10% of the Company’s total purchases. For the year ended December 31, 2024, two suppliers accounted for 13.7% and 12.5% of the Company’s total purchases, respectively. For the year ended December 31, 2023, one supplier accounted for 11.7% of the Company’s total purchases.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one supplier accounted for 10.6% of the Company’s total accounts payable balance. As of December 31, 2024, one supplier accounted for 18.1% of the Company’s total accounts payable balance.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No. 2024-03, “Income Statement - Reporting Comprehensive Income (Topic 22): Expense Disaggregation Disclosures”. This ASU requires entities to 1. disclose amounts of (a) purchase of inventory, (b) employee compensation, (c) depreciation, (d) intangible asset amortization, and, (e) depreciation, depletion, and amortization recognized as part of oil-and gas-producing activities, 2. include certain amounts that are already required to be disclosed under current Generally Accepted Accounting Principles in the same disclosures as other disaggregation requirements, 3. disclose a qualitative description of the amounts remaining in relevant expense captions that are not necessarily disaggregated quantitatively, and 4. disclose the total amount of selling expenses, in annual reporting periods, an entity’s definition of selling expense. The ASU is effective for annual reporting periods beginning after December 15, 2026 and interim reporting periods beginning after December 15, 2027. Additionally, in January 2025, the FASB issued ASU No. 2025-01 to clarify the effective date of ASU 2024-03. The standard provides guidance to expand disclosures related to the disaggregation of income statement expenses. The standard requires, in the notes to the financial statements, disclosure of specified information about certain costs and expenses which includes purchases of inventory, employee compensation, depreciation, and intangible asset amortization included in each relevant expense caption. This guidance is effective for fiscal years beginning after December 15, 2026, and interim periods within annual reporting periods beginning after December 15, 2027, on a retrospective or prospective basis, with early adoption permitted. The Company plans to adopt this guidance effective January 1, 2027 and the Company is currently evaluating the impact of adopting this ASU on its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the FASB issued ASU No. 2025-03, “Business Combinations (Topic 805) and Consolidation (Topic 810): Accounting Acquirer in a Business Combination Involving a Variable Interest Entity”. This ASU clarifies that when a business that is a VIE is acquired primarily with equity interests, the determination of the accounting acquirer should follow ASC 805 rather than defaulting to the primary beneficiary under ASC 810. The standard is effective for fiscal years beginning after December 15, 2026, including interim periods within those fiscal years. Early adoption is permitted. The Company plans to adopt this guidance effective January 1, 2027 and the Company is currently evaluating the impact of adopting this ASU on its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No. 2025-05, “Financial Instruments—Credit Losses (Topic 326): Measurement of Credit Losses for Accounts Receivable and Contract Assets”. This ASU provides a practical expedient for all entities related to the estimation of expected credit losses for current accounts receivable and current contract assets that arise from transactions accounted for under Topic 606. The standard is effective for annual periods beginning after December 15, 2025. Early adoption of ASU 2025-05 is permitted and should be applied prospectively. The Company will be adopting this guidance effectively January 1, 2026 and the Company is currently evaluating the impact of adopting this ASU on its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2025-11, Interim Reporting (Topic 270): Narrow-Scope Improvements. The purpose of this update is to improve the clarity and organization of interim reporting guidance and to enhance the disclosure requirements applicable to interim financial statements. ASU 2025-11 does not change the fundamental principles of interim reporting but clarifies the scope and presentation of required disclosures. A public business entity shall apply for interim reporting periods within annual reporting periods beginning after December 15, 2027. An entity other than a public business entity shall apply for interim reporting periods within annual reporting periods beginning after December 15, 2028. The Company plans to adopt this guidance effective January 1, 2028 and the Company is currently evaluating the impact of adopting this ASU on its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above-mentioned pronouncement, there are no new recently issued accounting standards that are expected to have a material impact on the Company’s consolidated financial position, statements of operations,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ACCOUNTS RECEIVABLE,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accounts receivable primarily include balance generated from selling bakery products to local corporate customers, billed but has not been collected as of the balance sheet dates. Accounts receivable also include amounts due from third-party online delivery and e-commerce platforms for which settlement is typically received within a short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6405" w:type="dxa"/>
        <w:jc w:val="left"/>
        <w:tblInd w:w="0" w:type="dxa"/>
        <w:tblLayout w:type="fixed"/>
        <w:tblCellMar>
          <w:top w:w="0" w:type="dxa"/>
          <w:left w:w="0" w:type="dxa"/>
          <w:bottom w:w="0" w:type="dxa"/>
          <w:right w:w="0" w:type="dxa"/>
        </w:tblCellMar>
      </w:tblPr>
      <w:tblGrid>
        <w:gridCol w:w="3110"/>
        <w:gridCol w:w="90"/>
        <w:gridCol w:w="208"/>
        <w:gridCol w:w="1237"/>
        <w:gridCol w:w="90"/>
        <w:gridCol w:w="90"/>
        <w:gridCol w:w="245"/>
        <w:gridCol w:w="1200"/>
        <w:gridCol w:w="135"/>
      </w:tblGrid>
      <w:tr>
        <w:trPr/>
        <w:tc>
          <w:tcPr>
            <w:tcW w:w="31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w:t>
              <w:br/>
              <w:t>2025</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w:t>
              <w:br/>
              <w:t>2024</w:t>
            </w:r>
          </w:p>
        </w:tc>
        <w:tc>
          <w:tcPr>
            <w:tcW w:w="135" w:type="dxa"/>
            <w:tcBorders/>
            <w:vAlign w:val="center"/>
          </w:tcPr>
          <w:p>
            <w:pPr>
              <w:pStyle w:val="TableContents"/>
              <w:bidi w:val="0"/>
              <w:spacing w:before="0" w:after="283"/>
              <w:jc w:val="center"/>
              <w:rPr/>
            </w:pPr>
            <w:r>
              <w:rPr/>
              <w:t> </w:t>
            </w:r>
          </w:p>
        </w:tc>
      </w:tr>
      <w:tr>
        <w:trPr/>
        <w:tc>
          <w:tcPr>
            <w:tcW w:w="3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1,738,052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991,467</w:t>
            </w:r>
          </w:p>
        </w:tc>
        <w:tc>
          <w:tcPr>
            <w:tcW w:w="135" w:type="dxa"/>
            <w:tcBorders/>
            <w:shd w:fill="CCEEFF" w:val="clear"/>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allowance for credit losses</w:t>
            </w:r>
          </w:p>
        </w:tc>
        <w:tc>
          <w:tcPr>
            <w:tcW w:w="90" w:type="dxa"/>
            <w:tcBorders/>
            <w:vAlign w:val="center"/>
          </w:tcPr>
          <w:p>
            <w:pPr>
              <w:pStyle w:val="TableContents"/>
              <w:bidi w:val="0"/>
              <w:spacing w:before="0" w:after="283"/>
              <w:jc w:val="left"/>
              <w:rPr/>
            </w:pPr>
            <w:r>
              <w:rPr/>
              <w:t> </w:t>
            </w:r>
          </w:p>
        </w:tc>
        <w:tc>
          <w:tcPr>
            <w:tcW w:w="208"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7"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5"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0" w:type="dxa"/>
            <w:tcBorders>
              <w:bottom w:val="single" w:sz="12" w:space="0" w:color="000000"/>
            </w:tcBorders>
            <w:tcMar>
              <w:bottom w:w="28" w:type="dxa"/>
            </w:tcMar>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accounts receivable, net</w:t>
            </w:r>
          </w:p>
        </w:tc>
        <w:tc>
          <w:tcPr>
            <w:tcW w:w="90" w:type="dxa"/>
            <w:tcBorders/>
            <w:shd w:fill="CCEEFF" w:val="clear"/>
            <w:vAlign w:val="center"/>
          </w:tcPr>
          <w:p>
            <w:pPr>
              <w:pStyle w:val="TableContents"/>
              <w:bidi w:val="0"/>
              <w:spacing w:before="0" w:after="283"/>
              <w:jc w:val="left"/>
              <w:rPr/>
            </w:pPr>
            <w:r>
              <w:rPr/>
              <w:t> </w:t>
            </w:r>
          </w:p>
        </w:tc>
        <w:tc>
          <w:tcPr>
            <w:tcW w:w="208"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1,738,052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991,467</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accounts receivable for expected credit losses in accordance with ASC 326, Financial Instruments - Credit Losses. The Company considers historical loss experience, current conditions, and reasonable and supportable forecasts in estimating expected credit losses. As of December 31, 2025 and 2024, the Company determined that no material allowance for credit losses was required, as the majority of receivables were either collected shortly after year-end or related to counterparties with strong credit profiles.</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PREPAID EXPENSES AND OTHER CURRENT ASSETS,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 net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8205" w:type="dxa"/>
        <w:jc w:val="left"/>
        <w:tblInd w:w="0" w:type="dxa"/>
        <w:tblLayout w:type="fixed"/>
        <w:tblCellMar>
          <w:top w:w="0" w:type="dxa"/>
          <w:left w:w="0" w:type="dxa"/>
          <w:bottom w:w="0" w:type="dxa"/>
          <w:right w:w="0" w:type="dxa"/>
        </w:tblCellMar>
      </w:tblPr>
      <w:tblGrid>
        <w:gridCol w:w="4910"/>
        <w:gridCol w:w="90"/>
        <w:gridCol w:w="245"/>
        <w:gridCol w:w="1200"/>
        <w:gridCol w:w="90"/>
        <w:gridCol w:w="90"/>
        <w:gridCol w:w="208"/>
        <w:gridCol w:w="1237"/>
        <w:gridCol w:w="135"/>
      </w:tblGrid>
      <w:tr>
        <w:trPr/>
        <w:tc>
          <w:tcPr>
            <w:tcW w:w="49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w:t>
              <w:br/>
              <w:t>2025</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w:t>
              <w:br/>
              <w:t>2024</w:t>
            </w:r>
          </w:p>
        </w:tc>
        <w:tc>
          <w:tcPr>
            <w:tcW w:w="135" w:type="dxa"/>
            <w:tcBorders/>
            <w:vAlign w:val="center"/>
          </w:tcPr>
          <w:p>
            <w:pPr>
              <w:pStyle w:val="TableContents"/>
              <w:bidi w:val="0"/>
              <w:spacing w:before="0" w:after="283"/>
              <w:jc w:val="center"/>
              <w:rPr/>
            </w:pPr>
            <w:r>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Advance to suppliers </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297,565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883,391</w:t>
            </w:r>
          </w:p>
        </w:tc>
        <w:tc>
          <w:tcPr>
            <w:tcW w:w="135" w:type="dxa"/>
            <w:tcBorders/>
            <w:shd w:fill="CCEEFF" w:val="clear"/>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Prepaid expenses </w:t>
            </w:r>
            <w:r>
              <w:rPr>
                <w:rFonts w:ascii="Times New Roman;Times;Serif" w:hAnsi="Times New Roman;Times;Serif"/>
                <w:position w:val="7"/>
                <w:sz w:val="16"/>
                <w:sz w:val="20"/>
              </w:rPr>
              <w:t>(2)</w:t>
            </w:r>
          </w:p>
        </w:tc>
        <w:tc>
          <w:tcPr>
            <w:tcW w:w="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120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370,479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23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713,597</w:t>
            </w:r>
          </w:p>
        </w:tc>
        <w:tc>
          <w:tcPr>
            <w:tcW w:w="135" w:type="dxa"/>
            <w:tcBorders/>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Other receivables </w:t>
            </w:r>
            <w:r>
              <w:rPr>
                <w:rFonts w:ascii="Times New Roman;Times;Serif" w:hAnsi="Times New Roman;Times;Serif"/>
                <w:position w:val="7"/>
                <w:sz w:val="16"/>
                <w:sz w:val="20"/>
              </w:rPr>
              <w:t>(3)</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12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304,743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998,429</w:t>
            </w:r>
          </w:p>
        </w:tc>
        <w:tc>
          <w:tcPr>
            <w:tcW w:w="135" w:type="dxa"/>
            <w:tcBorders/>
            <w:shd w:fill="CCEEFF" w:val="clear"/>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allowance for credit losses</w:t>
            </w:r>
          </w:p>
        </w:tc>
        <w:tc>
          <w:tcPr>
            <w:tcW w:w="90" w:type="dxa"/>
            <w:tcBorders/>
            <w:vAlign w:val="center"/>
          </w:tcPr>
          <w:p>
            <w:pPr>
              <w:pStyle w:val="TableContents"/>
              <w:bidi w:val="0"/>
              <w:spacing w:before="0" w:after="283"/>
              <w:jc w:val="left"/>
              <w:rPr/>
            </w:pPr>
            <w:r>
              <w:rPr/>
              <w:t> </w:t>
            </w:r>
          </w:p>
        </w:tc>
        <w:tc>
          <w:tcPr>
            <w:tcW w:w="245"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0"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8"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7" w:type="dxa"/>
            <w:tcBorders>
              <w:bottom w:val="single" w:sz="12" w:space="0" w:color="000000"/>
            </w:tcBorders>
            <w:tcMar>
              <w:bottom w:w="28" w:type="dxa"/>
            </w:tcMar>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prepaid expenses and other current assets, net</w:t>
            </w:r>
          </w:p>
        </w:tc>
        <w:tc>
          <w:tcPr>
            <w:tcW w:w="90" w:type="dxa"/>
            <w:tcBorders/>
            <w:shd w:fill="CCEEFF" w:val="clear"/>
            <w:vAlign w:val="center"/>
          </w:tcPr>
          <w:p>
            <w:pPr>
              <w:pStyle w:val="TableContents"/>
              <w:bidi w:val="0"/>
              <w:spacing w:before="0" w:after="283"/>
              <w:jc w:val="left"/>
              <w:rPr/>
            </w:pPr>
            <w:r>
              <w:rPr/>
              <w:t> </w:t>
            </w:r>
          </w:p>
        </w:tc>
        <w:tc>
          <w:tcPr>
            <w:tcW w:w="24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972,787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8"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2,595,417</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Advance to suppliers primarily consists of advance payments paid to suppliers for purchases of raw materials for bakery products. Certain prepaid balances include amounts reclassified from accounts payable where payments to suppliers exceeded the outstanding payable balances, resulting in debit balances. These amounts represent advance payments to suppliers for future purchases.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Prepaid expenses primarily represent prepaid rental expenses, professional fees, and other miscellaneous expenses for the Company’s bakery stores.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996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receivables are mainly business advances to officers and staff for business travel and sundry expenses. As of December 31, 2025 and 2024, the balance also included $210,000 and $60,020 receivable due from two third parties, respectively, as the Company entered into two cooperation agreements with two separate third parties, and granted the third parties licenses to use the Chanson Greenwich and Chanson 23rd Street stores for events from August 1, 2023 to July 31, 2024 and from May 1, 2025 to October 31, 2025, respectively. Additionally, the balance as of December 31, 2024, also included $830,000 proceeds due from the same third party as the Company disposed all the property and equipment of Chanson Greenwich to the third party. The balance of $890,020 as of December 31, 2024 mentioned above was fully collected during the year ended December 31, 2025.</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certain balances were outstanding beyond their contractual due dates; however, management expects these amounts to be fully collected and no disputes or collection issues have been identified. The Company evaluates other receivables for expected credit losses in accordance with ASC 326, Financial Instruments - Credit Losses. Based on the assessment of historical collection experience, current conditions, and subsequent receipts, no material allowance for credit losses was considered necessary as of December 31, 2025 and 2024. Subsequent to year-end, a significant portion of the outstanding balances as of December 31, 2024 has been collected during the year ended December 31,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decrease in prepaid expenses and other current assets for the year ended December 31, 2025 was primarily due to the collection of receivables from third parties and the settlement of advance payments during the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INVENTORIES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6000" w:type="dxa"/>
        <w:jc w:val="left"/>
        <w:tblInd w:w="0" w:type="dxa"/>
        <w:tblLayout w:type="fixed"/>
        <w:tblCellMar>
          <w:top w:w="0" w:type="dxa"/>
          <w:left w:w="0" w:type="dxa"/>
          <w:bottom w:w="0" w:type="dxa"/>
          <w:right w:w="0" w:type="dxa"/>
        </w:tblCellMar>
      </w:tblPr>
      <w:tblGrid>
        <w:gridCol w:w="2705"/>
        <w:gridCol w:w="90"/>
        <w:gridCol w:w="245"/>
        <w:gridCol w:w="1200"/>
        <w:gridCol w:w="90"/>
        <w:gridCol w:w="90"/>
        <w:gridCol w:w="245"/>
        <w:gridCol w:w="1200"/>
        <w:gridCol w:w="135"/>
      </w:tblGrid>
      <w:tr>
        <w:trPr/>
        <w:tc>
          <w:tcPr>
            <w:tcW w:w="27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w:t>
              <w:br/>
              <w:t>2025</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w:t>
              <w:br/>
              <w:t>2024</w:t>
            </w:r>
          </w:p>
        </w:tc>
        <w:tc>
          <w:tcPr>
            <w:tcW w:w="135" w:type="dxa"/>
            <w:tcBorders/>
            <w:vAlign w:val="center"/>
          </w:tcPr>
          <w:p>
            <w:pPr>
              <w:pStyle w:val="TableContents"/>
              <w:bidi w:val="0"/>
              <w:spacing w:before="0" w:after="283"/>
              <w:jc w:val="center"/>
              <w:rPr/>
            </w:pPr>
            <w:r>
              <w:rPr/>
              <w:t> </w:t>
            </w:r>
          </w:p>
        </w:tc>
      </w:tr>
      <w:tr>
        <w:trPr/>
        <w:tc>
          <w:tcPr>
            <w:tcW w:w="27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Ingredient materials</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538,898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421,275</w:t>
            </w:r>
          </w:p>
        </w:tc>
        <w:tc>
          <w:tcPr>
            <w:tcW w:w="135" w:type="dxa"/>
            <w:tcBorders/>
            <w:shd w:fill="CCEEFF" w:val="clear"/>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Package and other materials</w:t>
            </w:r>
          </w:p>
        </w:tc>
        <w:tc>
          <w:tcPr>
            <w:tcW w:w="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120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166,207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120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141,030</w:t>
            </w:r>
          </w:p>
        </w:tc>
        <w:tc>
          <w:tcPr>
            <w:tcW w:w="135"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Finished goods</w:t>
            </w:r>
          </w:p>
        </w:tc>
        <w:tc>
          <w:tcPr>
            <w:tcW w:w="90" w:type="dxa"/>
            <w:tcBorders/>
            <w:shd w:fill="CCEEFF" w:val="clear"/>
            <w:vAlign w:val="center"/>
          </w:tcPr>
          <w:p>
            <w:pPr>
              <w:pStyle w:val="TableContents"/>
              <w:bidi w:val="0"/>
              <w:spacing w:before="0" w:after="283"/>
              <w:jc w:val="left"/>
              <w:rPr/>
            </w:pPr>
            <w:r>
              <w:rPr/>
              <w:t> </w:t>
            </w:r>
          </w:p>
        </w:tc>
        <w:tc>
          <w:tcPr>
            <w:tcW w:w="2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125,492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176,468</w:t>
            </w:r>
          </w:p>
        </w:tc>
        <w:tc>
          <w:tcPr>
            <w:tcW w:w="135" w:type="dxa"/>
            <w:tcBorders/>
            <w:shd w:fill="CCEEFF" w:val="clear"/>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inventories</w:t>
            </w:r>
          </w:p>
        </w:tc>
        <w:tc>
          <w:tcPr>
            <w:tcW w:w="90" w:type="dxa"/>
            <w:tcBorders/>
            <w:vAlign w:val="center"/>
          </w:tcPr>
          <w:p>
            <w:pPr>
              <w:pStyle w:val="TableContents"/>
              <w:bidi w:val="0"/>
              <w:spacing w:before="0" w:after="283"/>
              <w:jc w:val="left"/>
              <w:rPr/>
            </w:pPr>
            <w:r>
              <w:rPr/>
              <w:t> </w:t>
            </w:r>
          </w:p>
        </w:tc>
        <w:tc>
          <w:tcPr>
            <w:tcW w:w="245"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830,597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5"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738,773</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inventories primarily consist of perishable bakery products with relatively short shelf lives. The Company manages inventory levels through a just-in-time production approach to minimize excess inventory and obsolescence risk. Management assesses net realizable value based on recent sales performance and subsequent sales after the reporting period. As of December 31, 2025 and 2024, no material inventory write-downs were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LONG TERM LOAN TO A THIRD-PARTY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 term loan to a third-party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7425" w:type="dxa"/>
        <w:jc w:val="left"/>
        <w:tblInd w:w="0" w:type="dxa"/>
        <w:tblLayout w:type="fixed"/>
        <w:tblCellMar>
          <w:top w:w="0" w:type="dxa"/>
          <w:left w:w="0" w:type="dxa"/>
          <w:bottom w:w="0" w:type="dxa"/>
          <w:right w:w="0" w:type="dxa"/>
        </w:tblCellMar>
      </w:tblPr>
      <w:tblGrid>
        <w:gridCol w:w="4130"/>
        <w:gridCol w:w="90"/>
        <w:gridCol w:w="316"/>
        <w:gridCol w:w="1129"/>
        <w:gridCol w:w="90"/>
        <w:gridCol w:w="90"/>
        <w:gridCol w:w="208"/>
        <w:gridCol w:w="1237"/>
        <w:gridCol w:w="135"/>
      </w:tblGrid>
      <w:tr>
        <w:trPr/>
        <w:tc>
          <w:tcPr>
            <w:tcW w:w="41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w:t>
              <w:br/>
              <w:t>2025</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w:t>
              <w:br/>
              <w:t>2024</w:t>
            </w:r>
          </w:p>
        </w:tc>
        <w:tc>
          <w:tcPr>
            <w:tcW w:w="135" w:type="dxa"/>
            <w:tcBorders/>
            <w:vAlign w:val="center"/>
          </w:tcPr>
          <w:p>
            <w:pPr>
              <w:pStyle w:val="TableContents"/>
              <w:bidi w:val="0"/>
              <w:spacing w:before="0" w:after="283"/>
              <w:jc w:val="center"/>
              <w:rPr/>
            </w:pPr>
            <w:r>
              <w:rPr/>
              <w:t> </w:t>
            </w:r>
          </w:p>
        </w:tc>
      </w:tr>
      <w:tr>
        <w:trPr/>
        <w:tc>
          <w:tcPr>
            <w:tcW w:w="4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Long term loan to a third-party</w:t>
            </w:r>
          </w:p>
        </w:tc>
        <w:tc>
          <w:tcPr>
            <w:tcW w:w="90" w:type="dxa"/>
            <w:tcBorders/>
            <w:shd w:fill="CCEEFF" w:val="clear"/>
            <w:vAlign w:val="center"/>
          </w:tcPr>
          <w:p>
            <w:pPr>
              <w:pStyle w:val="TableContents"/>
              <w:bidi w:val="0"/>
              <w:spacing w:before="0" w:after="283"/>
              <w:jc w:val="left"/>
              <w:rPr/>
            </w:pPr>
            <w:r>
              <w:rPr/>
              <w:t> </w:t>
            </w:r>
          </w:p>
        </w:tc>
        <w:tc>
          <w:tcPr>
            <w:tcW w:w="316"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9"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8"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2,000,000</w:t>
            </w:r>
          </w:p>
        </w:tc>
        <w:tc>
          <w:tcPr>
            <w:tcW w:w="135" w:type="dxa"/>
            <w:tcBorders/>
            <w:shd w:fill="CCEEFF" w:val="clear"/>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long term loan to a third-party</w:t>
            </w:r>
          </w:p>
        </w:tc>
        <w:tc>
          <w:tcPr>
            <w:tcW w:w="90" w:type="dxa"/>
            <w:tcBorders/>
            <w:vAlign w:val="center"/>
          </w:tcPr>
          <w:p>
            <w:pPr>
              <w:pStyle w:val="TableContents"/>
              <w:bidi w:val="0"/>
              <w:spacing w:before="0" w:after="283"/>
              <w:jc w:val="left"/>
              <w:rPr/>
            </w:pPr>
            <w:r>
              <w:rPr/>
              <w:t> </w:t>
            </w:r>
          </w:p>
        </w:tc>
        <w:tc>
          <w:tcPr>
            <w:tcW w:w="316"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9" w:type="dxa"/>
            <w:tcBorders>
              <w:bottom w:val="double" w:sz="10"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8"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7"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2,000,000</w:t>
            </w:r>
          </w:p>
        </w:tc>
        <w:tc>
          <w:tcPr>
            <w:tcW w:w="135"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portion of loan to a third-party</w:t>
            </w:r>
          </w:p>
        </w:tc>
        <w:tc>
          <w:tcPr>
            <w:tcW w:w="9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23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2,000,000</w:t>
            </w:r>
          </w:p>
        </w:tc>
        <w:tc>
          <w:tcPr>
            <w:tcW w:w="135"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Non-current portion of loan to a third-party</w:t>
            </w:r>
          </w:p>
        </w:tc>
        <w:tc>
          <w:tcPr>
            <w:tcW w:w="9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237"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 2023, the Company entered a loan agreement with Liberty Asset Management Capital Limited (the “Borrower”) to lend the Borrower $2.0 million for two years, with a maturity date of April 3, 2025. The loan has a fixed interest rate of 4.5% per annum. The Company recorded interest income of $90,986 for the year ended December 31, 2024. Due to the Borrower’s financial distress, the Company collected $1.5 million upon maturity of the loan. Based on management’s assessment of the Borrower’s financial condition and the recoverability of the remaining balance, the Company determined that the remaining $0.5 million was not recoverable and fully wrote off the balance during the year ended December 31, 2025. The write-off was recognized as bad debt expense within general and administrative expenses in the consolidated statements of operations and comprehensive income (loss). Following the write-off, there was no remaining outstanding balance as of December 31, 2025. No additional allowance for credit losses was recorded as the remaining balance had been fully written off.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office spaces, bakery store facilities, employee dormitories and a vehicle under non-cancelable operating leases, with terms ranging from 1 to 15 years. The Company considers those renewal or termination options that are reasonably certain to be exercised in the determination of the lease term and initial measurement of ROU assets and lease liabilities. Lease expenses are recognized on a straight-line basis over the lease term. Leases with initial term of 12 months or less are not recorded on the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whether a contract is or contains a lease at inception of the contract and whether that lease meets the classification criteria of a finance or operating lease. When available, the Company uses the rate implicit in the lease to discount lease payments to present value; however, most of the Company’s leases do not provide a readily determinable implicit rate. Therefore, the Company discounts lease payments based on an estimate of its incremental borrowing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lease agreements do not contain any material residual value guarantees or material restrictive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the operating lease related assets and liabilities recorded on the balance sheets.</w:t>
      </w:r>
    </w:p>
    <w:p>
      <w:pPr>
        <w:pStyle w:val="TextBody"/>
        <w:bidi w:val="0"/>
        <w:spacing w:before="0" w:after="0"/>
        <w:ind w:left="0" w:right="0" w:hanging="0"/>
        <w:jc w:val="left"/>
        <w:rPr>
          <w:caps w:val="false"/>
          <w:smallCaps w:val="false"/>
        </w:rPr>
      </w:pPr>
      <w:r>
        <w:rPr>
          <w:caps w:val="false"/>
          <w:smallCaps w:val="false"/>
        </w:rPr>
        <w:t> </w:t>
      </w:r>
    </w:p>
    <w:tbl>
      <w:tblPr>
        <w:tblW w:w="7124" w:type="dxa"/>
        <w:jc w:val="left"/>
        <w:tblInd w:w="0" w:type="dxa"/>
        <w:tblLayout w:type="fixed"/>
        <w:tblCellMar>
          <w:top w:w="0" w:type="dxa"/>
          <w:left w:w="0" w:type="dxa"/>
          <w:bottom w:w="0" w:type="dxa"/>
          <w:right w:w="0" w:type="dxa"/>
        </w:tblCellMar>
      </w:tblPr>
      <w:tblGrid>
        <w:gridCol w:w="3770"/>
        <w:gridCol w:w="90"/>
        <w:gridCol w:w="216"/>
        <w:gridCol w:w="1288"/>
        <w:gridCol w:w="90"/>
        <w:gridCol w:w="90"/>
        <w:gridCol w:w="188"/>
        <w:gridCol w:w="1257"/>
        <w:gridCol w:w="135"/>
      </w:tblGrid>
      <w:tr>
        <w:trPr/>
        <w:tc>
          <w:tcPr>
            <w:tcW w:w="37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December 31, </w:t>
              <w:br/>
              <w:t>2025</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w:t>
              <w:br/>
              <w:t>2024</w:t>
            </w:r>
          </w:p>
        </w:tc>
        <w:tc>
          <w:tcPr>
            <w:tcW w:w="135" w:type="dxa"/>
            <w:tcBorders/>
            <w:vAlign w:val="center"/>
          </w:tcPr>
          <w:p>
            <w:pPr>
              <w:pStyle w:val="TableContents"/>
              <w:bidi w:val="0"/>
              <w:spacing w:before="0" w:after="283"/>
              <w:jc w:val="center"/>
              <w:rPr/>
            </w:pPr>
            <w:r>
              <w:rPr/>
              <w:t> </w:t>
            </w:r>
          </w:p>
        </w:tc>
      </w:tr>
      <w:tr>
        <w:trPr/>
        <w:tc>
          <w:tcPr>
            <w:tcW w:w="37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ROU lease assets</w:t>
            </w:r>
          </w:p>
        </w:tc>
        <w:tc>
          <w:tcPr>
            <w:tcW w:w="90" w:type="dxa"/>
            <w:tcBorders/>
            <w:shd w:fill="CCEEFF" w:val="clear"/>
            <w:vAlign w:val="center"/>
          </w:tcPr>
          <w:p>
            <w:pPr>
              <w:pStyle w:val="TableContents"/>
              <w:bidi w:val="0"/>
              <w:spacing w:before="0" w:after="283"/>
              <w:jc w:val="left"/>
              <w:rPr/>
            </w:pPr>
            <w:r>
              <w:rPr/>
              <w:t> </w:t>
            </w:r>
          </w:p>
        </w:tc>
        <w:tc>
          <w:tcPr>
            <w:tcW w:w="216"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88"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8,297,961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8"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5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11,021,615</w:t>
            </w:r>
          </w:p>
        </w:tc>
        <w:tc>
          <w:tcPr>
            <w:tcW w:w="135" w:type="dxa"/>
            <w:tcBorders/>
            <w:shd w:fill="CCEEFF" w:val="clear"/>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288"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right"/>
              <w:rPr>
                <w:rFonts w:eastAsia="Times New Roman;Times;Serif"/>
                <w:sz w:val="20"/>
              </w:rPr>
            </w:pPr>
            <w:r>
              <w:rPr>
                <w:rFonts w:eastAsia="Times New Roman;Times;Serif"/>
                <w:sz w:val="20"/>
              </w:rPr>
              <w:t>　</w:t>
            </w:r>
          </w:p>
        </w:tc>
        <w:tc>
          <w:tcPr>
            <w:tcW w:w="135"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liabilities – current</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1,777,697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5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2,325,390</w:t>
            </w:r>
          </w:p>
        </w:tc>
        <w:tc>
          <w:tcPr>
            <w:tcW w:w="135" w:type="dxa"/>
            <w:tcBorders/>
            <w:shd w:fill="CCEEFF" w:val="clear"/>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liabilities – non-current</w:t>
            </w:r>
          </w:p>
        </w:tc>
        <w:tc>
          <w:tcPr>
            <w:tcW w:w="90" w:type="dxa"/>
            <w:tcBorders/>
            <w:vAlign w:val="center"/>
          </w:tcPr>
          <w:p>
            <w:pPr>
              <w:pStyle w:val="TableContents"/>
              <w:bidi w:val="0"/>
              <w:spacing w:before="0" w:after="283"/>
              <w:jc w:val="left"/>
              <w:rPr/>
            </w:pPr>
            <w:r>
              <w:rPr/>
              <w:t> </w:t>
            </w:r>
          </w:p>
        </w:tc>
        <w:tc>
          <w:tcPr>
            <w:tcW w:w="216" w:type="dxa"/>
            <w:tcBorders>
              <w:bottom w:val="single" w:sz="12" w:space="0" w:color="000000"/>
            </w:tcBorders>
            <w:tcMar>
              <w:bottom w:w="28" w:type="dxa"/>
            </w:tcMar>
            <w:vAlign w:val="center"/>
          </w:tcPr>
          <w:p>
            <w:pPr>
              <w:pStyle w:val="TableContents"/>
              <w:bidi w:val="0"/>
              <w:spacing w:before="0" w:after="283"/>
              <w:jc w:val="left"/>
              <w:rPr/>
            </w:pPr>
            <w:r>
              <w:rPr/>
              <w:t> </w:t>
            </w:r>
          </w:p>
        </w:tc>
        <w:tc>
          <w:tcPr>
            <w:tcW w:w="1288"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6,021,153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8"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7"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9,207,971</w:t>
            </w:r>
          </w:p>
        </w:tc>
        <w:tc>
          <w:tcPr>
            <w:tcW w:w="135"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lease liabilities</w:t>
            </w:r>
          </w:p>
        </w:tc>
        <w:tc>
          <w:tcPr>
            <w:tcW w:w="90" w:type="dxa"/>
            <w:tcBorders/>
            <w:shd w:fill="CCEEFF" w:val="clear"/>
            <w:vAlign w:val="center"/>
          </w:tcPr>
          <w:p>
            <w:pPr>
              <w:pStyle w:val="TableContents"/>
              <w:bidi w:val="0"/>
              <w:spacing w:before="0" w:after="283"/>
              <w:jc w:val="left"/>
              <w:rPr/>
            </w:pPr>
            <w:r>
              <w:rPr/>
              <w:t> </w:t>
            </w:r>
          </w:p>
        </w:tc>
        <w:tc>
          <w:tcPr>
            <w:tcW w:w="216"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88"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7,798,850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8"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5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11,533,361</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lease agreements require lease payments to be made in advance, resulting in prepaid lease balances. These balances represent timing differences between cash payments and straight-line lease expense recognition and are reflected in the measurement of the right-of-use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remaining lease terms and discount rates for all of operating leases were as follows as of December 31, 2025 and 2024:</w:t>
      </w:r>
    </w:p>
    <w:p>
      <w:pPr>
        <w:pStyle w:val="TextBody"/>
        <w:bidi w:val="0"/>
        <w:spacing w:before="0" w:after="0"/>
        <w:ind w:left="0" w:right="0" w:hanging="0"/>
        <w:jc w:val="left"/>
        <w:rPr>
          <w:caps w:val="false"/>
          <w:smallCaps w:val="false"/>
        </w:rPr>
      </w:pPr>
      <w:r>
        <w:rPr>
          <w:caps w:val="false"/>
          <w:smallCaps w:val="false"/>
        </w:rPr>
        <w:t> </w:t>
      </w:r>
    </w:p>
    <w:tbl>
      <w:tblPr>
        <w:tblW w:w="8094" w:type="dxa"/>
        <w:jc w:val="left"/>
        <w:tblInd w:w="0" w:type="dxa"/>
        <w:tblLayout w:type="fixed"/>
        <w:tblCellMar>
          <w:top w:w="0" w:type="dxa"/>
          <w:left w:w="0" w:type="dxa"/>
          <w:bottom w:w="0" w:type="dxa"/>
          <w:right w:w="0" w:type="dxa"/>
        </w:tblCellMar>
      </w:tblPr>
      <w:tblGrid>
        <w:gridCol w:w="4490"/>
        <w:gridCol w:w="90"/>
        <w:gridCol w:w="231"/>
        <w:gridCol w:w="1213"/>
        <w:gridCol w:w="245"/>
        <w:gridCol w:w="90"/>
        <w:gridCol w:w="232"/>
        <w:gridCol w:w="1213"/>
        <w:gridCol w:w="290"/>
      </w:tblGrid>
      <w:tr>
        <w:trPr/>
        <w:tc>
          <w:tcPr>
            <w:tcW w:w="44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w:t>
              <w:br/>
              <w:t>2025</w:t>
            </w:r>
          </w:p>
        </w:tc>
        <w:tc>
          <w:tcPr>
            <w:tcW w:w="2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w:t>
              <w:br/>
              <w:t>2024</w:t>
            </w:r>
          </w:p>
        </w:tc>
        <w:tc>
          <w:tcPr>
            <w:tcW w:w="290" w:type="dxa"/>
            <w:tcBorders/>
            <w:vAlign w:val="center"/>
          </w:tcPr>
          <w:p>
            <w:pPr>
              <w:pStyle w:val="TableContents"/>
              <w:bidi w:val="0"/>
              <w:spacing w:before="0" w:after="283"/>
              <w:jc w:val="center"/>
              <w:rPr/>
            </w:pPr>
            <w:r>
              <w:rPr/>
              <w:t> </w:t>
            </w:r>
          </w:p>
        </w:tc>
      </w:tr>
      <w:tr>
        <w:trPr/>
        <w:tc>
          <w:tcPr>
            <w:tcW w:w="44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Remaining lease term and discount rate:</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remaining lease term (years)</w:t>
            </w:r>
          </w:p>
        </w:tc>
        <w:tc>
          <w:tcPr>
            <w:tcW w:w="9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5.58</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6.75</w:t>
            </w:r>
          </w:p>
        </w:tc>
        <w:tc>
          <w:tcPr>
            <w:tcW w:w="290" w:type="dxa"/>
            <w:tcBorders/>
            <w:shd w:fill="CCEEFF" w:val="clear"/>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discount rate *</w:t>
            </w:r>
          </w:p>
        </w:tc>
        <w:tc>
          <w:tcPr>
            <w:tcW w:w="9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213"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4.94</w:t>
            </w:r>
          </w:p>
        </w:tc>
        <w:tc>
          <w:tcPr>
            <w:tcW w:w="2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1213"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4.50</w:t>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used new incremental borrowing rate of 3.95% for its lease contracts entered from fiscal year 2022 to the first half of fiscal year 2023 in the PRC. For lease contracts entered from the second half of fiscal year 2023 to fiscal year 2024, the Company used new incremental borrowing rate of 5.00%. For lease contracts entered in the first and second half of fiscal year 2025, the Company used new incremental borrowing rate of 4.19% and 4.18%, respectively. The Company used incremental borrowing rate of 3.75% for its lease contracts entered prior to fiscal year 2024 in the United States. For lease contracts entered in fiscal year 2024, the Company used new incremental borrowing rate of 8.00%. For lease contracts entered in fiscal year 2025, the Company used new incremental borrowing rate of 7.25%.</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its incremental borrowing rates based on the lease term, the economic environment in which the lease is denominated, and the Company’s credit risk. As a result, different incremental borrowing rates may be applied to lease contracts entered into at different times and in different jurisdictions to reflect changes in market conditions.</w:t>
            </w:r>
          </w:p>
        </w:tc>
      </w:tr>
    </w:tbl>
    <w:p>
      <w:pPr>
        <w:pStyle w:val="TextBody"/>
        <w:bidi w:val="0"/>
        <w:spacing w:before="0" w:after="0"/>
        <w:ind w:left="400" w:right="0" w:hanging="4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2025, 2024 and 2023, the Company incurred total operating lease expenses of $3,121,480, $3,120,327 and $3,241,799,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schedule, by years, of maturities of lease liabilities as of December 31, 2025:</w:t>
      </w:r>
    </w:p>
    <w:p>
      <w:pPr>
        <w:pStyle w:val="TextBody"/>
        <w:bidi w:val="0"/>
        <w:spacing w:before="0" w:after="0"/>
        <w:ind w:left="0" w:right="0" w:hanging="0"/>
        <w:jc w:val="left"/>
        <w:rPr>
          <w:caps w:val="false"/>
          <w:smallCaps w:val="false"/>
        </w:rPr>
      </w:pPr>
      <w:r>
        <w:rPr>
          <w:caps w:val="false"/>
          <w:smallCaps w:val="false"/>
        </w:rPr>
        <w:t> </w:t>
      </w:r>
    </w:p>
    <w:tbl>
      <w:tblPr>
        <w:tblW w:w="4520" w:type="dxa"/>
        <w:jc w:val="left"/>
        <w:tblInd w:w="0" w:type="dxa"/>
        <w:tblLayout w:type="fixed"/>
        <w:tblCellMar>
          <w:top w:w="0" w:type="dxa"/>
          <w:left w:w="0" w:type="dxa"/>
          <w:bottom w:w="0" w:type="dxa"/>
          <w:right w:w="0" w:type="dxa"/>
        </w:tblCellMar>
      </w:tblPr>
      <w:tblGrid>
        <w:gridCol w:w="3005"/>
        <w:gridCol w:w="90"/>
        <w:gridCol w:w="170"/>
        <w:gridCol w:w="1085"/>
        <w:gridCol w:w="170"/>
      </w:tblGrid>
      <w:tr>
        <w:trPr/>
        <w:tc>
          <w:tcPr>
            <w:tcW w:w="30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2026</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2,127,314</w:t>
            </w:r>
          </w:p>
        </w:tc>
        <w:tc>
          <w:tcPr>
            <w:tcW w:w="170" w:type="dxa"/>
            <w:tcBorders/>
            <w:shd w:fill="CCEEFF" w:val="clear"/>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2027</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1,795,292</w:t>
            </w:r>
          </w:p>
        </w:tc>
        <w:tc>
          <w:tcPr>
            <w:tcW w:w="170"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2028</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1,427,915</w:t>
            </w:r>
          </w:p>
        </w:tc>
        <w:tc>
          <w:tcPr>
            <w:tcW w:w="170" w:type="dxa"/>
            <w:tcBorders/>
            <w:shd w:fill="CCEEFF" w:val="clear"/>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2029</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1,133,806</w:t>
            </w:r>
          </w:p>
        </w:tc>
        <w:tc>
          <w:tcPr>
            <w:tcW w:w="170"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2030</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962,447</w:t>
            </w:r>
          </w:p>
        </w:tc>
        <w:tc>
          <w:tcPr>
            <w:tcW w:w="170" w:type="dxa"/>
            <w:tcBorders/>
            <w:shd w:fill="CCEEFF" w:val="clear"/>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Thereafter</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1,454,268</w:t>
            </w:r>
          </w:p>
        </w:tc>
        <w:tc>
          <w:tcPr>
            <w:tcW w:w="170"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lease payments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8,901,042</w:t>
            </w:r>
          </w:p>
        </w:tc>
        <w:tc>
          <w:tcPr>
            <w:tcW w:w="170" w:type="dxa"/>
            <w:tcBorders/>
            <w:shd w:fill="CCEEFF" w:val="clear"/>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imputed interest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(1,102,192</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Present value of lease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7,798,850</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PROPERTY AND EQUIPMENT,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6639" w:type="dxa"/>
        <w:jc w:val="left"/>
        <w:tblInd w:w="0" w:type="dxa"/>
        <w:tblLayout w:type="fixed"/>
        <w:tblCellMar>
          <w:top w:w="0" w:type="dxa"/>
          <w:left w:w="0" w:type="dxa"/>
          <w:bottom w:w="0" w:type="dxa"/>
          <w:right w:w="0" w:type="dxa"/>
        </w:tblCellMar>
      </w:tblPr>
      <w:tblGrid>
        <w:gridCol w:w="3275"/>
        <w:gridCol w:w="90"/>
        <w:gridCol w:w="188"/>
        <w:gridCol w:w="1256"/>
        <w:gridCol w:w="125"/>
        <w:gridCol w:w="90"/>
        <w:gridCol w:w="195"/>
        <w:gridCol w:w="1250"/>
        <w:gridCol w:w="170"/>
      </w:tblGrid>
      <w:tr>
        <w:trPr/>
        <w:tc>
          <w:tcPr>
            <w:tcW w:w="32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w:t>
              <w:br/>
              <w:t>2025</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w:t>
              <w:br/>
              <w:t>2024</w:t>
            </w:r>
          </w:p>
        </w:tc>
        <w:tc>
          <w:tcPr>
            <w:tcW w:w="170" w:type="dxa"/>
            <w:tcBorders/>
            <w:vAlign w:val="center"/>
          </w:tcPr>
          <w:p>
            <w:pPr>
              <w:pStyle w:val="TableContents"/>
              <w:bidi w:val="0"/>
              <w:spacing w:before="0" w:after="283"/>
              <w:jc w:val="center"/>
              <w:rPr/>
            </w:pPr>
            <w:r>
              <w:rPr/>
              <w:t> </w:t>
            </w:r>
          </w:p>
        </w:tc>
      </w:tr>
      <w:tr>
        <w:trPr/>
        <w:tc>
          <w:tcPr>
            <w:tcW w:w="3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Commercial property (hotel unit) </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1,533,672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50"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Bakery production equipment</w:t>
            </w:r>
          </w:p>
        </w:tc>
        <w:tc>
          <w:tcPr>
            <w:tcW w:w="9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1,128,548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1,155,420</w:t>
            </w:r>
          </w:p>
        </w:tc>
        <w:tc>
          <w:tcPr>
            <w:tcW w:w="170"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Automobiles</w:t>
            </w:r>
          </w:p>
        </w:tc>
        <w:tc>
          <w:tcPr>
            <w:tcW w:w="9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115,084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110,567</w:t>
            </w:r>
          </w:p>
        </w:tc>
        <w:tc>
          <w:tcPr>
            <w:tcW w:w="170" w:type="dxa"/>
            <w:tcBorders/>
            <w:shd w:fill="CCEEFF" w:val="clear"/>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Office equipment and furniture</w:t>
            </w:r>
          </w:p>
        </w:tc>
        <w:tc>
          <w:tcPr>
            <w:tcW w:w="9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1,201,357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938,252</w:t>
            </w:r>
          </w:p>
        </w:tc>
        <w:tc>
          <w:tcPr>
            <w:tcW w:w="170"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Leasehold improvements</w:t>
            </w:r>
          </w:p>
        </w:tc>
        <w:tc>
          <w:tcPr>
            <w:tcW w:w="9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6,903,484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5,959,894</w:t>
            </w:r>
          </w:p>
        </w:tc>
        <w:tc>
          <w:tcPr>
            <w:tcW w:w="170" w:type="dxa"/>
            <w:tcBorders/>
            <w:shd w:fill="CCEEFF" w:val="clear"/>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Subtotal</w:t>
            </w:r>
          </w:p>
        </w:tc>
        <w:tc>
          <w:tcPr>
            <w:tcW w:w="9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10,882,145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8,164,133</w:t>
            </w:r>
          </w:p>
        </w:tc>
        <w:tc>
          <w:tcPr>
            <w:tcW w:w="170"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accumulated depreciation</w:t>
            </w:r>
          </w:p>
        </w:tc>
        <w:tc>
          <w:tcPr>
            <w:tcW w:w="9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(3,818,153</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(3,719,660</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2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property and equipment, net</w:t>
            </w:r>
          </w:p>
        </w:tc>
        <w:tc>
          <w:tcPr>
            <w:tcW w:w="90" w:type="dxa"/>
            <w:tcBorders/>
            <w:vAlign w:val="center"/>
          </w:tcPr>
          <w:p>
            <w:pPr>
              <w:pStyle w:val="TableContents"/>
              <w:bidi w:val="0"/>
              <w:spacing w:before="0" w:after="283"/>
              <w:jc w:val="left"/>
              <w:rPr/>
            </w:pPr>
            <w:r>
              <w:rPr/>
              <w:t> </w:t>
            </w:r>
          </w:p>
        </w:tc>
        <w:tc>
          <w:tcPr>
            <w:tcW w:w="188"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56"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7,063,992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5"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5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4,444,473</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6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21, 2025, the Company acquired a commercial property unit from its controlling shareholder, Mr. Gang Li, through a debt settlement arrangement. The transaction involved the settlement of amounts due from the controlling shareholder, whereby the property was transferred to the Company in settlement of the outstanding balance.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determined the acquisition cost of the property based on its fair value at the acquisition date, supported by an independent third-party valuation. Management considers the fair value to be a reasonable proxy for the acquisition cost in this transaction. The property is legally owned by the Company and is currently leased to third parties to generate rental income. Consistent with the Company’s accounting policy, management has classified the property as property and equipment as it is held for use in the Company’s operations and the Company is actively involved in managing the property. Management determined the useful life of the property to be 20 years. The Company evaluates long-lived assets for impairment in accordance with ASC 360. As the property generates independently identifiable rental cash flows, it is assessed separately for impairment. Management considered the ongoing rental income and absence of adverse changes in occupancy or usage and concluded that no impairment indicators were present as of December 31,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gain on disposal of property and equipment was $(78,845), $152,517, and $(4,982) for the years ended December 31, 2025, 2024 and 2023,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expenses were $853,472, $796,369 and $831,820 for the years ended December 31, 2025, 2024 and 2023,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INTANGIBLE ASSETS,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6400" w:type="dxa"/>
        <w:jc w:val="left"/>
        <w:tblInd w:w="0" w:type="dxa"/>
        <w:tblLayout w:type="fixed"/>
        <w:tblCellMar>
          <w:top w:w="0" w:type="dxa"/>
          <w:left w:w="0" w:type="dxa"/>
          <w:bottom w:w="0" w:type="dxa"/>
          <w:right w:w="0" w:type="dxa"/>
        </w:tblCellMar>
      </w:tblPr>
      <w:tblGrid>
        <w:gridCol w:w="3035"/>
        <w:gridCol w:w="90"/>
        <w:gridCol w:w="245"/>
        <w:gridCol w:w="1200"/>
        <w:gridCol w:w="125"/>
        <w:gridCol w:w="90"/>
        <w:gridCol w:w="245"/>
        <w:gridCol w:w="1200"/>
        <w:gridCol w:w="170"/>
      </w:tblGrid>
      <w:tr>
        <w:trPr/>
        <w:tc>
          <w:tcPr>
            <w:tcW w:w="303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w:t>
              <w:br/>
              <w:t>2025</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w:t>
              <w:br/>
              <w:t>2024</w:t>
            </w:r>
          </w:p>
        </w:tc>
        <w:tc>
          <w:tcPr>
            <w:tcW w:w="170" w:type="dxa"/>
            <w:tcBorders/>
            <w:vAlign w:val="center"/>
          </w:tcPr>
          <w:p>
            <w:pPr>
              <w:pStyle w:val="TableContents"/>
              <w:bidi w:val="0"/>
              <w:spacing w:before="0" w:after="283"/>
              <w:jc w:val="center"/>
              <w:rPr/>
            </w:pPr>
            <w:r>
              <w:rPr/>
              <w:t> </w:t>
            </w:r>
          </w:p>
        </w:tc>
      </w:tr>
      <w:tr>
        <w:trPr/>
        <w:tc>
          <w:tcPr>
            <w:tcW w:w="30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assets</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290,000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290,000</w:t>
            </w:r>
          </w:p>
        </w:tc>
        <w:tc>
          <w:tcPr>
            <w:tcW w:w="170" w:type="dxa"/>
            <w:tcBorders/>
            <w:shd w:fill="CCEEFF" w:val="clear"/>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accumulated amortization</w:t>
            </w:r>
          </w:p>
        </w:tc>
        <w:tc>
          <w:tcPr>
            <w:tcW w:w="90" w:type="dxa"/>
            <w:tcBorders/>
            <w:vAlign w:val="center"/>
          </w:tcPr>
          <w:p>
            <w:pPr>
              <w:pStyle w:val="TableContents"/>
              <w:bidi w:val="0"/>
              <w:spacing w:before="0" w:after="283"/>
              <w:jc w:val="left"/>
              <w:rPr/>
            </w:pPr>
            <w:r>
              <w:rPr/>
              <w:t> </w:t>
            </w:r>
          </w:p>
        </w:tc>
        <w:tc>
          <w:tcPr>
            <w:tcW w:w="245"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(63,750</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245"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(27,500</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0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intangible assets, net</w:t>
            </w:r>
          </w:p>
        </w:tc>
        <w:tc>
          <w:tcPr>
            <w:tcW w:w="90" w:type="dxa"/>
            <w:tcBorders/>
            <w:shd w:fill="CCEEFF" w:val="clear"/>
            <w:vAlign w:val="center"/>
          </w:tcPr>
          <w:p>
            <w:pPr>
              <w:pStyle w:val="TableContents"/>
              <w:bidi w:val="0"/>
              <w:spacing w:before="0" w:after="283"/>
              <w:jc w:val="left"/>
              <w:rPr/>
            </w:pPr>
            <w:r>
              <w:rPr/>
              <w:t> </w:t>
            </w:r>
          </w:p>
        </w:tc>
        <w:tc>
          <w:tcPr>
            <w:tcW w:w="24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226,250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262,500</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assessed whether events or changes in circumstances, including store closures and changes in business operations, indicated that the carrying amount of the intangible assets may not be recoverable. As the software systems are utilized across the Company’s operations and are not dependent on individual store performance, management concluded that such events did not represent impairment indicators. Accordingly, no impairment loss was recognized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expenses were $36,250, $27,500 and $nil for the years ended December 31, 2025, 2024 and 2023,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intangible assets attributable to future periods as of December 31, 2025 is as follows:</w:t>
      </w:r>
    </w:p>
    <w:p>
      <w:pPr>
        <w:pStyle w:val="TextBody"/>
        <w:bidi w:val="0"/>
        <w:spacing w:before="0" w:after="0"/>
        <w:ind w:left="0" w:right="0" w:hanging="0"/>
        <w:jc w:val="left"/>
        <w:rPr>
          <w:caps w:val="false"/>
          <w:smallCaps w:val="false"/>
        </w:rPr>
      </w:pPr>
      <w:r>
        <w:rPr>
          <w:caps w:val="false"/>
          <w:smallCaps w:val="false"/>
        </w:rPr>
        <w:t> </w:t>
      </w:r>
    </w:p>
    <w:tbl>
      <w:tblPr>
        <w:tblW w:w="4980" w:type="dxa"/>
        <w:jc w:val="left"/>
        <w:tblInd w:w="0" w:type="dxa"/>
        <w:tblLayout w:type="fixed"/>
        <w:tblCellMar>
          <w:top w:w="0" w:type="dxa"/>
          <w:left w:w="0" w:type="dxa"/>
          <w:bottom w:w="28" w:type="dxa"/>
          <w:right w:w="0" w:type="dxa"/>
        </w:tblCellMar>
      </w:tblPr>
      <w:tblGrid>
        <w:gridCol w:w="3755"/>
        <w:gridCol w:w="90"/>
        <w:gridCol w:w="170"/>
        <w:gridCol w:w="830"/>
        <w:gridCol w:w="135"/>
      </w:tblGrid>
      <w:tr>
        <w:trPr/>
        <w:tc>
          <w:tcPr>
            <w:tcW w:w="3755" w:type="dxa"/>
            <w:tcBorders>
              <w:bottom w:val="single" w:sz="12"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Twelve months ended December 31:</w:t>
            </w:r>
          </w:p>
        </w:tc>
        <w:tc>
          <w:tcPr>
            <w:tcW w:w="90" w:type="dxa"/>
            <w:tcBorders/>
            <w:tcMar>
              <w:bottom w:w="0" w:type="dxa"/>
            </w:tcMar>
            <w:vAlign w:val="center"/>
          </w:tcPr>
          <w:p>
            <w:pPr>
              <w:pStyle w:val="TableContents"/>
              <w:bidi w:val="0"/>
              <w:spacing w:before="0" w:after="283"/>
              <w:jc w:val="left"/>
              <w:rPr/>
            </w:pPr>
            <w:r>
              <w:rPr/>
              <w:t> </w:t>
            </w:r>
          </w:p>
        </w:tc>
        <w:tc>
          <w:tcPr>
            <w:tcW w:w="1000" w:type="dxa"/>
            <w:gridSpan w:val="2"/>
            <w:tcBorders/>
            <w:tcMar>
              <w:bottom w:w="0" w:type="dxa"/>
            </w:tcMar>
            <w:vAlign w:val="center"/>
          </w:tcPr>
          <w:p>
            <w:pPr>
              <w:pStyle w:val="TableContents"/>
              <w:bidi w:val="0"/>
              <w:spacing w:before="0" w:after="283"/>
              <w:jc w:val="right"/>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375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2026</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36,250</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375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2027</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36,250</w:t>
            </w:r>
          </w:p>
        </w:tc>
        <w:tc>
          <w:tcPr>
            <w:tcW w:w="135" w:type="dxa"/>
            <w:tcBorders/>
            <w:tcMar>
              <w:bottom w:w="0" w:type="dxa"/>
            </w:tcMar>
            <w:vAlign w:val="center"/>
          </w:tcPr>
          <w:p>
            <w:pPr>
              <w:pStyle w:val="TableContents"/>
              <w:bidi w:val="0"/>
              <w:spacing w:before="0" w:after="283"/>
              <w:jc w:val="left"/>
              <w:rPr/>
            </w:pPr>
            <w:r>
              <w:rPr/>
              <w:t> </w:t>
            </w:r>
          </w:p>
        </w:tc>
      </w:tr>
      <w:tr>
        <w:trPr/>
        <w:tc>
          <w:tcPr>
            <w:tcW w:w="375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36,250</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375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2029</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36,250</w:t>
            </w:r>
          </w:p>
        </w:tc>
        <w:tc>
          <w:tcPr>
            <w:tcW w:w="135" w:type="dxa"/>
            <w:tcBorders/>
            <w:tcMar>
              <w:bottom w:w="0" w:type="dxa"/>
            </w:tcMar>
            <w:vAlign w:val="center"/>
          </w:tcPr>
          <w:p>
            <w:pPr>
              <w:pStyle w:val="TableContents"/>
              <w:bidi w:val="0"/>
              <w:spacing w:before="0" w:after="283"/>
              <w:jc w:val="left"/>
              <w:rPr/>
            </w:pPr>
            <w:r>
              <w:rPr/>
              <w:t> </w:t>
            </w:r>
          </w:p>
        </w:tc>
      </w:tr>
      <w:tr>
        <w:trPr/>
        <w:tc>
          <w:tcPr>
            <w:tcW w:w="375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36,250</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375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Thereafter</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vAlign w:val="center"/>
          </w:tcPr>
          <w:p>
            <w:pPr>
              <w:pStyle w:val="TableContents"/>
              <w:bidi w:val="0"/>
              <w:spacing w:before="0" w:after="283"/>
              <w:jc w:val="left"/>
              <w:rPr/>
            </w:pPr>
            <w:r>
              <w:rPr/>
              <w:t> </w:t>
            </w:r>
          </w:p>
        </w:tc>
        <w:tc>
          <w:tcPr>
            <w:tcW w:w="830" w:type="dxa"/>
            <w:tcBorders>
              <w:bottom w:val="single" w:sz="12"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45,000</w:t>
            </w:r>
          </w:p>
        </w:tc>
        <w:tc>
          <w:tcPr>
            <w:tcW w:w="135" w:type="dxa"/>
            <w:tcBorders/>
            <w:tcMar>
              <w:bottom w:w="0" w:type="dxa"/>
            </w:tcMar>
            <w:vAlign w:val="center"/>
          </w:tcPr>
          <w:p>
            <w:pPr>
              <w:pStyle w:val="TableContents"/>
              <w:bidi w:val="0"/>
              <w:spacing w:before="0" w:after="283"/>
              <w:jc w:val="left"/>
              <w:rPr/>
            </w:pPr>
            <w:r>
              <w:rPr/>
              <w:t> </w:t>
            </w:r>
          </w:p>
        </w:tc>
      </w:tr>
      <w:tr>
        <w:trPr/>
        <w:tc>
          <w:tcPr>
            <w:tcW w:w="375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226,250</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LONG TERM DEBT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 term debt investments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10"/>
        <w:gridCol w:w="90"/>
        <w:gridCol w:w="188"/>
        <w:gridCol w:w="1257"/>
        <w:gridCol w:w="90"/>
        <w:gridCol w:w="90"/>
        <w:gridCol w:w="208"/>
        <w:gridCol w:w="1237"/>
        <w:gridCol w:w="135"/>
      </w:tblGrid>
      <w:tr>
        <w:trPr/>
        <w:tc>
          <w:tcPr>
            <w:tcW w:w="69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w:t>
              <w:br/>
              <w:t>2025</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w:t>
              <w:br/>
              <w:t>2024</w:t>
            </w:r>
          </w:p>
        </w:tc>
        <w:tc>
          <w:tcPr>
            <w:tcW w:w="135" w:type="dxa"/>
            <w:tcBorders/>
            <w:vAlign w:val="center"/>
          </w:tcPr>
          <w:p>
            <w:pPr>
              <w:pStyle w:val="TableContents"/>
              <w:bidi w:val="0"/>
              <w:spacing w:before="0" w:after="283"/>
              <w:jc w:val="center"/>
              <w:rPr/>
            </w:pPr>
            <w:r>
              <w:rPr/>
              <w:t> </w:t>
            </w:r>
          </w:p>
        </w:tc>
      </w:tr>
      <w:tr>
        <w:trPr/>
        <w:tc>
          <w:tcPr>
            <w:tcW w:w="69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Worthy Credit Limited (“Worthy Credit”) </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5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6,359,014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6,359,014</w:t>
            </w:r>
          </w:p>
        </w:tc>
        <w:tc>
          <w:tcPr>
            <w:tcW w:w="135" w:type="dxa"/>
            <w:tcBorders/>
            <w:shd w:fill="CCEEFF" w:val="clear"/>
            <w:vAlign w:val="center"/>
          </w:tcPr>
          <w:p>
            <w:pPr>
              <w:pStyle w:val="TableContents"/>
              <w:bidi w:val="0"/>
              <w:spacing w:before="0" w:after="283"/>
              <w:jc w:val="left"/>
              <w:rPr/>
            </w:pPr>
            <w:r>
              <w:rPr/>
              <w:t> </w:t>
            </w:r>
          </w:p>
        </w:tc>
      </w:tr>
      <w:tr>
        <w:trPr/>
        <w:tc>
          <w:tcPr>
            <w:tcW w:w="6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Shenzhen Yongdahui Trading Co., Ltd. (“Yongdahui”) </w:t>
            </w:r>
            <w:r>
              <w:rPr>
                <w:rFonts w:ascii="Times New Roman;Times;Serif" w:hAnsi="Times New Roman;Times;Serif"/>
                <w:position w:val="7"/>
                <w:sz w:val="16"/>
                <w:sz w:val="20"/>
              </w:rPr>
              <w:t>(2)</w:t>
            </w:r>
          </w:p>
        </w:tc>
        <w:tc>
          <w:tcPr>
            <w:tcW w:w="9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16,518,417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237"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69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Beijing Zhixuan Tiangong Technology Development Co., Ltd. (“Zhixuan Tiangong”) </w:t>
            </w:r>
            <w:r>
              <w:rPr>
                <w:rFonts w:ascii="Times New Roman;Times;Serif" w:hAnsi="Times New Roman;Times;Serif"/>
                <w:position w:val="7"/>
                <w:sz w:val="16"/>
                <w:sz w:val="20"/>
              </w:rPr>
              <w:t>(3)</w:t>
            </w:r>
          </w:p>
        </w:tc>
        <w:tc>
          <w:tcPr>
            <w:tcW w:w="9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30,261,370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69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long term debt investments</w:t>
            </w:r>
          </w:p>
        </w:tc>
        <w:tc>
          <w:tcPr>
            <w:tcW w:w="90" w:type="dxa"/>
            <w:tcBorders/>
            <w:vAlign w:val="center"/>
          </w:tcPr>
          <w:p>
            <w:pPr>
              <w:pStyle w:val="TableContents"/>
              <w:bidi w:val="0"/>
              <w:spacing w:before="0" w:after="283"/>
              <w:jc w:val="left"/>
              <w:rPr/>
            </w:pPr>
            <w:r>
              <w:rPr/>
              <w:t> </w:t>
            </w:r>
          </w:p>
        </w:tc>
        <w:tc>
          <w:tcPr>
            <w:tcW w:w="188"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57"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53,138,801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8"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7"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6,359,014</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March 31, 2023, the Company entered into a five-year agreement with Worthy Credit, pursuant to which, the Company made payment of $6.0 million to Worthy Credit, and authorized Worthy Credit to invest the Company’s funds to provide loan services for housing mortgage applicants, with rates of return of 12% per annum. The qualification of the applicants was approved by the approval board, which was composed of the members of the Company and Worthy Credit. The Company recorded investment income of $720,000, $723,945 and $534,575 for the years ended December 31, 2025, 2024 and 2023, respectively.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June 30, 2025, the Company entered into a two-year agreement with Yongdahui, pursuant to which, the Company made payment of approximately $16.5 million (approximately RMB 115.9 million) to invest in Yongdahui with rates of return of 6% per annum. This investment is guaranteed by a commitment letter provided by the Company’s controlling shareholder, Mr. Gang Li, pursuant to which he has agreed to settle any unpaid principal and interest in the event of default. The Company recorded investment income of $483,810, $nil and $nil for the years ended December 31, 2025, 2024 and 2023, respectively.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November 6, 2025, the Company entered into a two-year agreement with Zhixuan Tiangong, pursuant to which, the Company made payment of $30.0 million to invest in Zhixuan Tiangong with rates of return of 6% per annum. The qualification of the Zhixuan Tiangong was evaluated by an independent appraiser. The Company recorded investment income of $261,370, $nil and $nil for the years ended December 31, 2025, 2024 and 2023, respectively.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long-term debt investments are measured at amortized cost. The Company evaluates these investments for expected credit losses in accordance with ASC 326, Financial Instruments - Credit Losses, and recognizes an allowance for credit losses based on lifetime expected losses, considering historical experience, current conditions, and reasonable and supportable forecasts. As of December 31, 2025, the Company’s long-term debt investments were concentrated with a limited number of counterparties. The Company monitors the creditworthiness of these counterparties on an ongoing basis and considers such concentration risk in its assessment of expected credit losses. Management assessed the expected credit losses associated with these investments, taking into account the financial condition of the counterparties, contractual terms, repayment history, and available guarantees. While the Company has not experienced any defaults to date and expects to realize these investments in accordance with their contractual terms, the concentration of these investments and reliance on counterparty performance and guarantees may expose the Company to credit and liquidity risks. Based on management’s assessment, no material allowance for credit losses was recorded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significantly increased its long-term debt investments as part of its strategy to enhance returns on excess cash and expand financing-related activities. The realization of returns from these investments is an important component of the Company’s liquidity planning and is subject to counterparty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Short-term bank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bank loans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6014" w:type="dxa"/>
        <w:jc w:val="left"/>
        <w:tblInd w:w="0" w:type="dxa"/>
        <w:tblLayout w:type="fixed"/>
        <w:tblCellMar>
          <w:top w:w="0" w:type="dxa"/>
          <w:left w:w="0" w:type="dxa"/>
          <w:bottom w:w="0" w:type="dxa"/>
          <w:right w:w="0" w:type="dxa"/>
        </w:tblCellMar>
      </w:tblPr>
      <w:tblGrid>
        <w:gridCol w:w="2660"/>
        <w:gridCol w:w="90"/>
        <w:gridCol w:w="255"/>
        <w:gridCol w:w="1249"/>
        <w:gridCol w:w="90"/>
        <w:gridCol w:w="90"/>
        <w:gridCol w:w="208"/>
        <w:gridCol w:w="1237"/>
        <w:gridCol w:w="135"/>
      </w:tblGrid>
      <w:tr>
        <w:trPr/>
        <w:tc>
          <w:tcPr>
            <w:tcW w:w="266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December 31, </w:t>
              <w:br/>
              <w:t>2025</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w:t>
              <w:br/>
              <w:t>2024</w:t>
            </w:r>
          </w:p>
        </w:tc>
        <w:tc>
          <w:tcPr>
            <w:tcW w:w="135" w:type="dxa"/>
            <w:tcBorders/>
            <w:vAlign w:val="center"/>
          </w:tcPr>
          <w:p>
            <w:pPr>
              <w:pStyle w:val="TableContents"/>
              <w:bidi w:val="0"/>
              <w:spacing w:before="0" w:after="283"/>
              <w:jc w:val="center"/>
              <w:rPr/>
            </w:pPr>
            <w:r>
              <w:rPr/>
              <w:t> </w:t>
            </w:r>
          </w:p>
        </w:tc>
      </w:tr>
      <w:tr>
        <w:trPr/>
        <w:tc>
          <w:tcPr>
            <w:tcW w:w="26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Huaxia Bank </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4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428,844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411,043</w:t>
            </w:r>
          </w:p>
        </w:tc>
        <w:tc>
          <w:tcPr>
            <w:tcW w:w="135" w:type="dxa"/>
            <w:tcBorders/>
            <w:shd w:fill="CCEEFF" w:val="clear"/>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Bank of China </w:t>
            </w:r>
            <w:r>
              <w:rPr>
                <w:rFonts w:ascii="Times New Roman;Times;Serif" w:hAnsi="Times New Roman;Times;Serif"/>
                <w:position w:val="7"/>
                <w:sz w:val="16"/>
                <w:sz w:val="20"/>
              </w:rPr>
              <w:t>(2)</w:t>
            </w:r>
          </w:p>
        </w:tc>
        <w:tc>
          <w:tcPr>
            <w:tcW w:w="90" w:type="dxa"/>
            <w:tcBorders/>
            <w:vAlign w:val="center"/>
          </w:tcPr>
          <w:p>
            <w:pPr>
              <w:pStyle w:val="TableContents"/>
              <w:bidi w:val="0"/>
              <w:spacing w:before="0" w:after="283"/>
              <w:jc w:val="left"/>
              <w:rPr/>
            </w:pPr>
            <w:r>
              <w:rPr/>
              <w:t> </w:t>
            </w:r>
          </w:p>
        </w:tc>
        <w:tc>
          <w:tcPr>
            <w:tcW w:w="2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8"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7"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1,096,116</w:t>
            </w:r>
          </w:p>
        </w:tc>
        <w:tc>
          <w:tcPr>
            <w:tcW w:w="135"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short-term bank loans</w:t>
            </w:r>
          </w:p>
        </w:tc>
        <w:tc>
          <w:tcPr>
            <w:tcW w:w="90" w:type="dxa"/>
            <w:tcBorders/>
            <w:shd w:fill="CCEEFF" w:val="clear"/>
            <w:vAlign w:val="center"/>
          </w:tcPr>
          <w:p>
            <w:pPr>
              <w:pStyle w:val="TableContents"/>
              <w:bidi w:val="0"/>
              <w:spacing w:before="0" w:after="283"/>
              <w:jc w:val="left"/>
              <w:rPr/>
            </w:pPr>
            <w:r>
              <w:rPr/>
              <w:t> </w:t>
            </w:r>
          </w:p>
        </w:tc>
        <w:tc>
          <w:tcPr>
            <w:tcW w:w="25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4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428,844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8"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1,507,159</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6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20, 2024, Xinjiang United Family entered into a loan agreement with Huaxia Bank to borrow RMB3.0 million ($411,043) as working capital for three months, with a maturity date of March 19, 2025. The loan bears a fixed interest rate of 5.00% per annum. The loan was guaranteed by Ms. Baolin Wang, the legal representative of Xinjiang United Family, and Urumqi Plastic Surgery Hospital Co., Ltd., a related party that is controlled by Mr. Gang Li, the Chairman of the Company. The loan was repaid on March 19, 2025.</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Subsequently, on March 24, 2025, Xinjiang United Family entered into another loan agreement with Huaxia Bank to borrow RMB3.0 million ($428,844) as working capital for a year, with a maturity date of March 24, 2026. This loan bears a fixed interest rate of 3.5% per annum. The loan was guaranteed by Ms. Baolin Wang, and Urumqi Meihe Cancer Rehabilitation Hospital Co., Ltd., a related party that is controlled by Mr. Gang Li’s family member. The loan was repaid in full upon maturity.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September 12, 2024, Xinjiang United Family entered into a loan agreement with Bank of China to borrow RMB10.0 million ($1,370,145) as working capital for a year, with a maturity date of September 11, 2025. The loan bears a fixed interest rate of 3.45% per annum. The Company is required to make a quarterly installment payment of RMB 2.0 million ($274,029) within the term of the loan, with last installment of RMB 4.0 million ($548,058) to be paid at maturity date. The loan is guaranteed by Mr. Gang Li and his family member, Ms. Ying Xiong. In addition, Xinjiang United Family pledged its trademark rights as collateral to guarantee the Company’s loan from Bank of China. Such trademarks are internally developed and have been expensed as incurred under U.S. GAAP, and therefore have no carrying value in the consolidated financial statements. The loan was repaid in full upon maturity.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Long-term bank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bank loans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6735" w:type="dxa"/>
        <w:jc w:val="left"/>
        <w:tblInd w:w="0" w:type="dxa"/>
        <w:tblLayout w:type="fixed"/>
        <w:tblCellMar>
          <w:top w:w="0" w:type="dxa"/>
          <w:left w:w="0" w:type="dxa"/>
          <w:bottom w:w="0" w:type="dxa"/>
          <w:right w:w="0" w:type="dxa"/>
        </w:tblCellMar>
      </w:tblPr>
      <w:tblGrid>
        <w:gridCol w:w="3440"/>
        <w:gridCol w:w="90"/>
        <w:gridCol w:w="208"/>
        <w:gridCol w:w="1237"/>
        <w:gridCol w:w="90"/>
        <w:gridCol w:w="90"/>
        <w:gridCol w:w="294"/>
        <w:gridCol w:w="1151"/>
        <w:gridCol w:w="135"/>
      </w:tblGrid>
      <w:tr>
        <w:trPr/>
        <w:tc>
          <w:tcPr>
            <w:tcW w:w="34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w:t>
              <w:br/>
              <w:t>2024</w:t>
            </w:r>
          </w:p>
        </w:tc>
        <w:tc>
          <w:tcPr>
            <w:tcW w:w="135" w:type="dxa"/>
            <w:tcBorders/>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Tianshan Rural Commercial Bank </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3,030,498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51" w:type="dxa"/>
            <w:tcBorders/>
            <w:shd w:fill="CCEEFF" w:val="clear"/>
            <w:vAlign w:val="center"/>
          </w:tcPr>
          <w:p>
            <w:pPr>
              <w:pStyle w:val="TableContents"/>
              <w:bidi w:val="0"/>
              <w:spacing w:before="0" w:after="283"/>
              <w:jc w:val="right"/>
              <w:rPr/>
            </w:pPr>
            <w:r>
              <w:rPr/>
              <w:t>         </w:t>
            </w:r>
            <w:r>
              <w:rPr/>
              <w:t>-</w:t>
            </w:r>
          </w:p>
        </w:tc>
        <w:tc>
          <w:tcPr>
            <w:tcW w:w="135" w:type="dxa"/>
            <w:tcBorders/>
            <w:shd w:fill="CCEEFF" w:val="clear"/>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Bank of China </w:t>
            </w:r>
            <w:r>
              <w:rPr>
                <w:rFonts w:ascii="Times New Roman;Times;Serif" w:hAnsi="Times New Roman;Times;Serif"/>
                <w:position w:val="7"/>
                <w:sz w:val="16"/>
                <w:sz w:val="20"/>
              </w:rPr>
              <w:t>(2)</w:t>
            </w:r>
          </w:p>
        </w:tc>
        <w:tc>
          <w:tcPr>
            <w:tcW w:w="90" w:type="dxa"/>
            <w:tcBorders/>
            <w:vAlign w:val="center"/>
          </w:tcPr>
          <w:p>
            <w:pPr>
              <w:pStyle w:val="TableContents"/>
              <w:bidi w:val="0"/>
              <w:spacing w:before="0" w:after="283"/>
              <w:jc w:val="left"/>
              <w:rPr/>
            </w:pPr>
            <w:r>
              <w:rPr/>
              <w:t> </w:t>
            </w:r>
          </w:p>
        </w:tc>
        <w:tc>
          <w:tcPr>
            <w:tcW w:w="208"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7"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1,986,977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4" w:type="dxa"/>
            <w:tcBorders>
              <w:bottom w:val="single" w:sz="12" w:space="0" w:color="000000"/>
            </w:tcBorders>
            <w:tcMar>
              <w:bottom w:w="28" w:type="dxa"/>
            </w:tcMar>
            <w:vAlign w:val="center"/>
          </w:tcPr>
          <w:p>
            <w:pPr>
              <w:pStyle w:val="TableContents"/>
              <w:bidi w:val="0"/>
              <w:spacing w:before="0" w:after="283"/>
              <w:jc w:val="left"/>
              <w:rPr/>
            </w:pPr>
            <w:r>
              <w:rPr/>
              <w:t> </w:t>
            </w:r>
          </w:p>
        </w:tc>
        <w:tc>
          <w:tcPr>
            <w:tcW w:w="1151" w:type="dxa"/>
            <w:tcBorders>
              <w:bottom w:val="single" w:sz="12" w:space="0" w:color="000000"/>
            </w:tcBorders>
            <w:tcMar>
              <w:bottom w:w="28" w:type="dxa"/>
            </w:tcMar>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long-term bank loans</w:t>
            </w:r>
          </w:p>
        </w:tc>
        <w:tc>
          <w:tcPr>
            <w:tcW w:w="90" w:type="dxa"/>
            <w:tcBorders/>
            <w:shd w:fill="CCEEFF" w:val="clear"/>
            <w:vAlign w:val="center"/>
          </w:tcPr>
          <w:p>
            <w:pPr>
              <w:pStyle w:val="TableContents"/>
              <w:bidi w:val="0"/>
              <w:spacing w:before="0" w:after="283"/>
              <w:jc w:val="left"/>
              <w:rPr/>
            </w:pPr>
            <w:r>
              <w:rPr/>
              <w:t> </w:t>
            </w:r>
          </w:p>
        </w:tc>
        <w:tc>
          <w:tcPr>
            <w:tcW w:w="208"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5,017,475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4"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51"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237"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Long-term bank loans - current</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371,665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51"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237"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Long-term bank loans - non-current</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4,645,810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51"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6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22, 2025, Xinjiang United Family entered into a loan agreement with Tianshan Rural Commercial Bank to borrow RMB12.0 million ($1,715,376) as working capital for three years, with a maturity date of January 19, 2028. The loan bears a fixed interest rate of 5.0% per annum. The Company is required to make a semi-annual installment payment of RMB 0.6 million ($85,769) within the term of the loan, with last installment of RMB 9.0 million ($1,286,532) to be paid at maturity date. The loan is guaranteed by Mr. Gang Li and his family member, Ms. Ying Xiong, as well as Urumqi Plastic Surgery Hospital Co., Ltd., a related party that is controlled by Mr. Gang Li.</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24, 2025, Xinjiang United Family entered into another loan agreement with Tianshan Rural Commercial Bank to borrow RMB10.0 million ($1,429,480) as working capital for two years, with a maturity date of March 23, 2027. The loan bears a fixed interest rate of 4.5% per annum. The Company is required to make a semi-annual installment payment of RMB 0.2 million ($28,590) within the term of the loan, with last installment of RMB 9.4 million ($1,343,711) to be paid at maturity date. The loan is guaranteed by Mr. Gang Li and his family member, Ms. Ying Xiong, and Urumqi Mary Maternity and Gynecology Hospital Co., Ltd., a related party that is controlled by Mr. Gang Li. In addition, the loan is also guaranteed by two third-party companies, as well as these two companies’ legal representatives and their family members.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date of this report, these two loans were repaid as scheduled.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6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19, 2025, Xinjiang United Family entered into a loan agreement with Bank of China to borrow RMB10.0 million ($1,429,480) as working capital for two years, with a maturity date of June 19, 2027. The loan bears a floating rate of China’s Loan Prime Rate (“LPR”), with every twelve months adjustments starting from the loan disbursement date. The Company is required to make a semi-annual installment payment of RMB 0.3 million ($42,884) within the term of the loan, with last installment of RMB 9.1 million ($1,300,827) to be paid at maturity date. The loan is guaranteed by Mr. Gang Li and his family member, Ms. Ying Xiong.</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16, 2025, George Chanson Trading entered into a loan agreement with Bank of China to borrow RMB4.2 million ($600,382) as working capital for three years, with a maturity date of September 15, 2028. The loan bears a floating rate of China’s Loan Prime Rate (“LPR”), with every twelve months adjustments starting from the loan disbursement date. The Company is required to make a semi-annual installment payment of RMB 0.2 million ($28,590) within the term of the loan, with last installment of RMB 3.2 million ($457,434) to be paid at maturity date. The loan is guaranteed by Mr. Gang Li and his family member, Ms. Ying Xiong, as well as the other subsidiary of the Company, Xinjiang United Family.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date of this report, these two loans were repaid as scheduled.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future maturities of long-term bank loans as of December 31, 2025 were as follows:</w:t>
      </w:r>
    </w:p>
    <w:p>
      <w:pPr>
        <w:pStyle w:val="TextBody"/>
        <w:bidi w:val="0"/>
        <w:spacing w:before="0" w:after="0"/>
        <w:ind w:left="0" w:right="0" w:hanging="0"/>
        <w:jc w:val="both"/>
        <w:rPr>
          <w:caps w:val="false"/>
          <w:smallCaps w:val="false"/>
        </w:rPr>
      </w:pPr>
      <w:r>
        <w:rPr>
          <w:caps w:val="false"/>
          <w:smallCaps w:val="false"/>
        </w:rPr>
        <w:t> </w:t>
      </w:r>
    </w:p>
    <w:tbl>
      <w:tblPr>
        <w:tblW w:w="5160" w:type="dxa"/>
        <w:jc w:val="left"/>
        <w:tblInd w:w="0" w:type="dxa"/>
        <w:tblLayout w:type="fixed"/>
        <w:tblCellMar>
          <w:top w:w="0" w:type="dxa"/>
          <w:left w:w="0" w:type="dxa"/>
          <w:bottom w:w="28" w:type="dxa"/>
          <w:right w:w="0" w:type="dxa"/>
        </w:tblCellMar>
      </w:tblPr>
      <w:tblGrid>
        <w:gridCol w:w="3755"/>
        <w:gridCol w:w="90"/>
        <w:gridCol w:w="170"/>
        <w:gridCol w:w="1010"/>
        <w:gridCol w:w="135"/>
      </w:tblGrid>
      <w:tr>
        <w:trPr/>
        <w:tc>
          <w:tcPr>
            <w:tcW w:w="3755" w:type="dxa"/>
            <w:tcBorders>
              <w:bottom w:val="single" w:sz="12"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Twelve months ended December 31:</w:t>
            </w:r>
          </w:p>
        </w:tc>
        <w:tc>
          <w:tcPr>
            <w:tcW w:w="90" w:type="dxa"/>
            <w:tcBorders/>
            <w:tcMar>
              <w:bottom w:w="0" w:type="dxa"/>
            </w:tcMar>
            <w:vAlign w:val="center"/>
          </w:tcPr>
          <w:p>
            <w:pPr>
              <w:pStyle w:val="TableContents"/>
              <w:bidi w:val="0"/>
              <w:spacing w:before="0" w:after="283"/>
              <w:jc w:val="left"/>
              <w:rPr/>
            </w:pPr>
            <w:r>
              <w:rPr/>
              <w:t> </w:t>
            </w:r>
          </w:p>
        </w:tc>
        <w:tc>
          <w:tcPr>
            <w:tcW w:w="1180" w:type="dxa"/>
            <w:gridSpan w:val="2"/>
            <w:tcBorders/>
            <w:tcMar>
              <w:bottom w:w="0" w:type="dxa"/>
            </w:tcMar>
            <w:vAlign w:val="center"/>
          </w:tcPr>
          <w:p>
            <w:pPr>
              <w:pStyle w:val="TableContents"/>
              <w:bidi w:val="0"/>
              <w:spacing w:before="0" w:after="283"/>
              <w:jc w:val="right"/>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375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2026</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371,665</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375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2027</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2,873,255</w:t>
            </w:r>
          </w:p>
        </w:tc>
        <w:tc>
          <w:tcPr>
            <w:tcW w:w="135" w:type="dxa"/>
            <w:tcBorders/>
            <w:tcMar>
              <w:bottom w:w="0" w:type="dxa"/>
            </w:tcMar>
            <w:vAlign w:val="center"/>
          </w:tcPr>
          <w:p>
            <w:pPr>
              <w:pStyle w:val="TableContents"/>
              <w:bidi w:val="0"/>
              <w:spacing w:before="0" w:after="283"/>
              <w:jc w:val="left"/>
              <w:rPr/>
            </w:pPr>
            <w:r>
              <w:rPr/>
              <w:t> </w:t>
            </w:r>
          </w:p>
        </w:tc>
      </w:tr>
      <w:tr>
        <w:trPr/>
        <w:tc>
          <w:tcPr>
            <w:tcW w:w="375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1,772,555</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375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0" w:type="dxa"/>
            <w:tcBorders>
              <w:bottom w:val="double" w:sz="10" w:space="0" w:color="000000"/>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5,017,475</w:t>
            </w:r>
          </w:p>
        </w:tc>
        <w:tc>
          <w:tcPr>
            <w:tcW w:w="13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above-mentioned short-term and long-term bank loans, the Company recorded interest expenses of $181,157, $134,788 and $32,444 for the years ended December 31, 2025, 2024 and 2023,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certain customary covenants under its loan agreements. Management has assessed compliance with these covenants as of December 31, 2025 and concluded that the Company was in compliance with all applicable covenants. There were no events of default or breaches identified during the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assessed compliance with the terms of the loan agreements as of December 31, 2025 and concluded that the Company was in compliance with all applicable repayment and other contractual requirements. No events of default had occurred as of December 31, 2025 that would trigger early repayment or otherwise affect the classification of the borrowings.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reviewed the terms of the loan agreements, including provisions related to covenant compliance and potential acceleration, and determined that the classification of the loans between current and non-current is appropriate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the Company’s borrowings are guaranteed by the Company’s controlling shareholder, Mr. Gang Li, his family member, Ms. Ying Xiong, and entities controlled by Mr. Gang Li. These guarantees were provided to support the Company’s financing arrangements and were not separately compensated.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 RELATED PARTY TRANSACTIONS</w:t>
      </w:r>
    </w:p>
    <w:p>
      <w:pPr>
        <w:pStyle w:val="TextBody"/>
        <w:bidi w:val="0"/>
        <w:spacing w:before="0" w:after="0"/>
        <w:ind w:left="0" w:right="0" w:hanging="0"/>
        <w:jc w:val="both"/>
        <w:rPr>
          <w:caps w:val="false"/>
          <w:smallCaps w:val="false"/>
        </w:rPr>
      </w:pPr>
      <w:r>
        <w:rPr>
          <w:caps w:val="false"/>
          <w:smallCaps w:val="false"/>
        </w:rPr>
        <w:t> </w:t>
      </w:r>
    </w:p>
    <w:tbl>
      <w:tblPr>
        <w:tblW w:w="2110" w:type="dxa"/>
        <w:jc w:val="left"/>
        <w:tblInd w:w="0" w:type="dxa"/>
        <w:tblLayout w:type="fixed"/>
        <w:tblCellMar>
          <w:top w:w="0" w:type="dxa"/>
          <w:left w:w="0" w:type="dxa"/>
          <w:bottom w:w="0" w:type="dxa"/>
          <w:right w:w="0" w:type="dxa"/>
        </w:tblCellMar>
      </w:tblPr>
      <w:tblGrid>
        <w:gridCol w:w="215"/>
        <w:gridCol w:w="1895"/>
      </w:tblGrid>
      <w:tr>
        <w:trPr/>
        <w:tc>
          <w:tcPr>
            <w:tcW w:w="21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a.</w:t>
            </w:r>
          </w:p>
        </w:tc>
        <w:tc>
          <w:tcPr>
            <w:tcW w:w="1895" w:type="dxa"/>
            <w:tcBorders/>
            <w:vAlign w:val="center"/>
          </w:tcPr>
          <w:p>
            <w:pPr>
              <w:pStyle w:val="TableContents"/>
              <w:bidi w:val="0"/>
              <w:spacing w:before="0" w:after="283"/>
              <w:jc w:val="both"/>
              <w:rPr>
                <w:rFonts w:ascii="Times New Roman;Times;Serif" w:hAnsi="Times New Roman;Times;Serif"/>
                <w:b/>
                <w:i/>
                <w:sz w:val="20"/>
              </w:rPr>
            </w:pPr>
            <w:r>
              <w:rPr>
                <w:rFonts w:ascii="Times New Roman;Times;Serif" w:hAnsi="Times New Roman;Times;Serif"/>
                <w:b/>
                <w:i/>
                <w:sz w:val="20"/>
              </w:rPr>
              <w:t>Due to a related party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both amounts due from and due to Mr. Gang Li arising from funding arrangements between the Company’s PRC and U.S. entities. These balances were settled through Mr. Gang Li acting as the central counterparty. Pursuant to an agreement between the Company and Mr. Gang Li, such balances are settled on a net basis, and management has presented the net amount due to the related party in the consolidated financial statements. On a gross basis, the Company had amounts due from the related party of approximately $2.1 million and amounts due to the related party of approximately $2.2 million as of December 31, 2025. Management believes that the criteria for offsetting under ASC 210 have been met.</w:t>
      </w:r>
    </w:p>
    <w:p>
      <w:pPr>
        <w:pStyle w:val="TextBody"/>
        <w:bidi w:val="0"/>
        <w:spacing w:before="0" w:after="0"/>
        <w:ind w:left="0" w:right="0" w:hanging="0"/>
        <w:jc w:val="left"/>
        <w:rPr>
          <w:caps w:val="false"/>
          <w:smallCaps w:val="false"/>
        </w:rPr>
      </w:pPr>
      <w:r>
        <w:rPr>
          <w:caps w:val="false"/>
          <w:smallCaps w:val="false"/>
        </w:rPr>
        <w:t> </w:t>
      </w:r>
    </w:p>
    <w:tbl>
      <w:tblPr>
        <w:tblW w:w="2950" w:type="dxa"/>
        <w:jc w:val="left"/>
        <w:tblInd w:w="0" w:type="dxa"/>
        <w:tblLayout w:type="fixed"/>
        <w:tblCellMar>
          <w:top w:w="0" w:type="dxa"/>
          <w:left w:w="0" w:type="dxa"/>
          <w:bottom w:w="0" w:type="dxa"/>
          <w:right w:w="0" w:type="dxa"/>
        </w:tblCellMar>
      </w:tblPr>
      <w:tblGrid>
        <w:gridCol w:w="215"/>
        <w:gridCol w:w="2735"/>
      </w:tblGrid>
      <w:tr>
        <w:trPr/>
        <w:tc>
          <w:tcPr>
            <w:tcW w:w="21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b.</w:t>
            </w:r>
          </w:p>
        </w:tc>
        <w:tc>
          <w:tcPr>
            <w:tcW w:w="2735" w:type="dxa"/>
            <w:tcBorders/>
            <w:vAlign w:val="center"/>
          </w:tcPr>
          <w:p>
            <w:pPr>
              <w:pStyle w:val="TableContents"/>
              <w:bidi w:val="0"/>
              <w:spacing w:before="0" w:after="283"/>
              <w:jc w:val="both"/>
              <w:rPr>
                <w:rFonts w:ascii="Times New Roman;Times;Serif" w:hAnsi="Times New Roman;Times;Serif"/>
                <w:b/>
                <w:i/>
                <w:sz w:val="20"/>
              </w:rPr>
            </w:pPr>
            <w:r>
              <w:rPr>
                <w:rFonts w:ascii="Times New Roman;Times;Serif" w:hAnsi="Times New Roman;Times;Serif"/>
                <w:b/>
                <w:i/>
                <w:sz w:val="20"/>
              </w:rPr>
              <w:t>Other related party transactions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Several related parties provided guarantees in connection with the Company’s short-term and long-term bank loans (see Note 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 Premises Use Agreement dated April 30, 2020 and a Supplemental Agreement dated June 18, 2020, Urumqi Plastic Surgery Hospital Co., Ltd., a PRC company controlled by Mr. Gang Li, provided approximately 5,382 square feet office space for the Company’s headquarters without charge. The term of the agreement is from January 1, 2020 to June 25, 2028, unless otherwise terminated by either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F-32</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acquired a commercial property unit from its controlling shareholder, Mr. Gang Li, through a debt settlement arrangement. The transaction involved the settlement of amounts due from the controlling shareholder, whereby the property was transferred to the Company in satisfaction of the outstanding balance. The Company determined the value of the property based on an independent third-party valuation at the acquisition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considers the above transactions to be conducted in the normal course of business and, where applicable, based on terms comparable to those that could be obtained in transactions with unrelated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13 — TAXES</w:t>
      </w:r>
    </w:p>
    <w:p>
      <w:pPr>
        <w:pStyle w:val="TextBody"/>
        <w:bidi w:val="0"/>
        <w:spacing w:before="0" w:after="0"/>
        <w:ind w:left="0" w:right="0" w:hanging="0"/>
        <w:jc w:val="left"/>
        <w:rPr>
          <w:caps w:val="false"/>
          <w:smallCaps w:val="false"/>
        </w:rPr>
      </w:pPr>
      <w:r>
        <w:rPr>
          <w:caps w:val="false"/>
          <w:smallCaps w:val="false"/>
        </w:rPr>
        <w:t> </w:t>
      </w:r>
    </w:p>
    <w:tbl>
      <w:tblPr>
        <w:tblW w:w="3220" w:type="dxa"/>
        <w:jc w:val="left"/>
        <w:tblInd w:w="0" w:type="dxa"/>
        <w:tblLayout w:type="fixed"/>
        <w:tblCellMar>
          <w:top w:w="0" w:type="dxa"/>
          <w:left w:w="0" w:type="dxa"/>
          <w:bottom w:w="0" w:type="dxa"/>
          <w:right w:w="0" w:type="dxa"/>
        </w:tblCellMar>
      </w:tblPr>
      <w:tblGrid>
        <w:gridCol w:w="290"/>
        <w:gridCol w:w="2930"/>
      </w:tblGrid>
      <w:tr>
        <w:trPr/>
        <w:tc>
          <w:tcPr>
            <w:tcW w:w="2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293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Corporate Income Taxes (“CIT”)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No stamp duty is payable in the Cayman Islands on the issue of shares by, or any transfers of shares of, Cayman Islands companies (except those which hold interests in land in the Cayman Islands). There are no exchange control regulations or currency restrictions in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dividends and capital in respect of our ordinary shares will not be subject to taxation in the Cayman Islands and no withholding will be required on the payment of a dividend or capital to any holder of our ordinary shares, as the case may be, nor will gains derived from the disposal of our ordinary shares be subject to Cayman Islands income or corporation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British Virgin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Deen Global is incorporated in the BVI as an offshore holding company and is not subject to tax on income or capital gain under the laws of BVI.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Hong Kong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Jenyd is incorporated in Hong Kong and is subject to profit taxes in Hong Kong at a rate of 8.25% on assessable profits up to HK$2,000,000, and 16.5% on any part of assessable profits over HK$2,000,000. However, Jenyd did not generate any assessable profits arising in or derived from Hong Kong for the years ended December 31, 2025, 2024 and 2023, and accordingly no provision for Hong Kong profits tax was made in these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Enterprise Income Tax (“EIT”) Law of the PRC, domestic enterprises and Foreign Investment Enterprises (the “FIE”) are usually subject to a unified 25% enterprise income tax rate while preferential tax rates, tax holidays, or exemptions may be granted on a case-by-case basis. The Company’s subsidiary, Xinjiang United Family and its branch offices were incorporated in the PRC and subject to 25% income tax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UFG entities are individually-owned businesses, which are not subject to the EIT Law of the PRC, but the Individual Income Tax. The Measures for Individual Income Tax Calculation of Individual Industrial and Commercial Households, or the “Measures,” were adopted by the State Administration of Taxation on December 19, 2014 and promulgated on December 27, 2014, and amended on June 15, 2018. According to Article 7 of the Measures, for the income from production and operation of individually-owned businesses, the amount of taxable income shall be the balance of the total income of each tax year after deducting costs, expenses, taxes, losses and other expenditures, and allowable compensation for losses in previous years. Income tax for an individually-owned business can generally be assessed on an actual basis or a deemed basis, which the UFG entities apply. The deemed basis adopted by the UFG entities includes two types: taxation based on fixed amount (“Fixed Amount Method”) and taxation based on fixed tax rate (“Fixed Rate Method”), both methods are as determined by the local tax authority on a case-by-case basis. Therefore, income tax for the UFG entities is levied either as a fixed amount pursuant to Fixed Amount Method, or at an industry-specific fixed rate pursuant to the Fixed Rate Method. According to Announcement No. 12 [2021], Announcement No. 6 [2023] and Announcement No. 12 [2023] of the State Taxation Administration, the income tax payable by the UFG entities shall be halved during the period from January 1, 2021 to December 31, 2027. For the years ended December 31, 2025, 2024 and 2023, 17, 13 and 13 of these UFG entities paid income tax, respectively. The rest of these UFG entities were exempted from paying income tax. During the years ended December 31, 2025, 2024 and 2023, the total tax exemption of the UFG entities were $38,748, $25,048 and $17,303, respectively. As of December 31, 2025, for the tax years ended December 31, 2021 through December 31, 2025 the Company’s UFG entities remained open for statutory examination by PRC tax authorities. In addition, the TNI and tax rate of the Company’s UFG entities are subject to periodical reassessment by the local tax authority. If the local tax authority determined that income tax for the UFG entities should be levied at a higher TNI or higher tax rate, the Company would be obligated to pay additional income tax for the UFG entities. Along with the continuing growth of business, the Company expects that the tax rates of these UFG entities are likely to increase in the future in the annual assessment based on the past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subsidiaries in the U.S. are subject to a U.S. federal corporate income tax rate of 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(loss) before provision for income taxes is attributable to the following geographic locations for the years ended December 31, 2025, 2024 and 2023:</w:t>
      </w:r>
    </w:p>
    <w:p>
      <w:pPr>
        <w:pStyle w:val="TextBody"/>
        <w:bidi w:val="0"/>
        <w:spacing w:before="0" w:after="0"/>
        <w:ind w:left="0" w:right="0" w:hanging="0"/>
        <w:jc w:val="both"/>
        <w:rPr>
          <w:caps w:val="false"/>
          <w:smallCaps w:val="false"/>
        </w:rPr>
      </w:pPr>
      <w:r>
        <w:rPr>
          <w:caps w:val="false"/>
          <w:smallCaps w:val="false"/>
        </w:rPr>
        <w:t> </w:t>
      </w:r>
    </w:p>
    <w:tbl>
      <w:tblPr>
        <w:tblW w:w="7535" w:type="dxa"/>
        <w:jc w:val="left"/>
        <w:tblInd w:w="0" w:type="dxa"/>
        <w:tblLayout w:type="fixed"/>
        <w:tblCellMar>
          <w:top w:w="0" w:type="dxa"/>
          <w:left w:w="0" w:type="dxa"/>
          <w:bottom w:w="0" w:type="dxa"/>
          <w:right w:w="0" w:type="dxa"/>
        </w:tblCellMar>
      </w:tblPr>
      <w:tblGrid>
        <w:gridCol w:w="3260"/>
        <w:gridCol w:w="90"/>
        <w:gridCol w:w="170"/>
        <w:gridCol w:w="905"/>
        <w:gridCol w:w="125"/>
        <w:gridCol w:w="90"/>
        <w:gridCol w:w="170"/>
        <w:gridCol w:w="1085"/>
        <w:gridCol w:w="125"/>
        <w:gridCol w:w="90"/>
        <w:gridCol w:w="170"/>
        <w:gridCol w:w="1085"/>
        <w:gridCol w:w="170"/>
      </w:tblGrid>
      <w:tr>
        <w:trPr/>
        <w:tc>
          <w:tcPr>
            <w:tcW w:w="326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4015"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Years Ended December 31,</w:t>
            </w:r>
          </w:p>
        </w:tc>
        <w:tc>
          <w:tcPr>
            <w:tcW w:w="170" w:type="dxa"/>
            <w:tcBorders/>
            <w:vAlign w:val="center"/>
          </w:tcPr>
          <w:p>
            <w:pPr>
              <w:pStyle w:val="TableContents"/>
              <w:bidi w:val="0"/>
              <w:spacing w:before="0" w:after="283"/>
              <w:jc w:val="center"/>
              <w:rPr/>
            </w:pPr>
            <w:r>
              <w:rPr/>
              <w:t> </w:t>
            </w:r>
          </w:p>
        </w:tc>
      </w:tr>
      <w:tr>
        <w:trPr/>
        <w:tc>
          <w:tcPr>
            <w:tcW w:w="326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170" w:type="dxa"/>
            <w:tcBorders/>
            <w:vAlign w:val="center"/>
          </w:tcPr>
          <w:p>
            <w:pPr>
              <w:pStyle w:val="TableContents"/>
              <w:bidi w:val="0"/>
              <w:spacing w:before="0" w:after="283"/>
              <w:jc w:val="center"/>
              <w:rPr/>
            </w:pPr>
            <w:r>
              <w:rPr/>
              <w:t> </w:t>
            </w:r>
          </w:p>
        </w:tc>
      </w:tr>
      <w:tr>
        <w:trPr/>
        <w:tc>
          <w:tcPr>
            <w:tcW w:w="32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Cayman Islands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304,701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793,358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601,397</w:t>
            </w:r>
          </w:p>
        </w:tc>
        <w:tc>
          <w:tcPr>
            <w:tcW w:w="170" w:type="dxa"/>
            <w:tcBorders/>
            <w:shd w:fill="CCEEFF" w:val="clear"/>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PRC</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863,062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2,221,539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1,836,171</w:t>
            </w:r>
          </w:p>
        </w:tc>
        <w:tc>
          <w:tcPr>
            <w:tcW w:w="170" w:type="dxa"/>
            <w:tcBorders/>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(906,068</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(2,184,008</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(2,284,564</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2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income before income taxes</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261,695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830,889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153,004</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the income tax provision were as follows:</w:t>
      </w:r>
    </w:p>
    <w:p>
      <w:pPr>
        <w:pStyle w:val="TextBody"/>
        <w:bidi w:val="0"/>
        <w:spacing w:before="0" w:after="0"/>
        <w:ind w:left="0" w:right="0" w:hanging="0"/>
        <w:jc w:val="left"/>
        <w:rPr>
          <w:caps w:val="false"/>
          <w:smallCaps w:val="false"/>
        </w:rPr>
      </w:pPr>
      <w:r>
        <w:rPr>
          <w:caps w:val="false"/>
          <w:smallCaps w:val="false"/>
        </w:rPr>
        <w:t> </w:t>
      </w:r>
    </w:p>
    <w:tbl>
      <w:tblPr>
        <w:tblW w:w="6559" w:type="dxa"/>
        <w:jc w:val="left"/>
        <w:tblInd w:w="0" w:type="dxa"/>
        <w:tblLayout w:type="fixed"/>
        <w:tblCellMar>
          <w:top w:w="0" w:type="dxa"/>
          <w:left w:w="0" w:type="dxa"/>
          <w:bottom w:w="0" w:type="dxa"/>
          <w:right w:w="0" w:type="dxa"/>
        </w:tblCellMar>
      </w:tblPr>
      <w:tblGrid>
        <w:gridCol w:w="2690"/>
        <w:gridCol w:w="90"/>
        <w:gridCol w:w="198"/>
        <w:gridCol w:w="830"/>
        <w:gridCol w:w="105"/>
        <w:gridCol w:w="105"/>
        <w:gridCol w:w="198"/>
        <w:gridCol w:w="830"/>
        <w:gridCol w:w="105"/>
        <w:gridCol w:w="105"/>
        <w:gridCol w:w="198"/>
        <w:gridCol w:w="970"/>
        <w:gridCol w:w="135"/>
      </w:tblGrid>
      <w:tr>
        <w:trPr/>
        <w:tc>
          <w:tcPr>
            <w:tcW w:w="26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44"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Years Ended December 31,</w:t>
            </w:r>
          </w:p>
        </w:tc>
        <w:tc>
          <w:tcPr>
            <w:tcW w:w="135" w:type="dxa"/>
            <w:tcBorders/>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2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05" w:type="dxa"/>
            <w:tcBorders/>
            <w:vAlign w:val="center"/>
          </w:tcPr>
          <w:p>
            <w:pPr>
              <w:pStyle w:val="TableContents"/>
              <w:bidi w:val="0"/>
              <w:spacing w:before="0" w:after="283"/>
              <w:jc w:val="center"/>
              <w:rPr/>
            </w:pPr>
            <w:r>
              <w:rPr/>
              <w:t> </w:t>
            </w:r>
          </w:p>
        </w:tc>
        <w:tc>
          <w:tcPr>
            <w:tcW w:w="105" w:type="dxa"/>
            <w:tcBorders/>
            <w:vAlign w:val="center"/>
          </w:tcPr>
          <w:p>
            <w:pPr>
              <w:pStyle w:val="TableContents"/>
              <w:bidi w:val="0"/>
              <w:spacing w:before="0" w:after="283"/>
              <w:jc w:val="center"/>
              <w:rPr/>
            </w:pPr>
            <w:r>
              <w:rPr/>
              <w:t> </w:t>
            </w:r>
          </w:p>
        </w:tc>
        <w:tc>
          <w:tcPr>
            <w:tcW w:w="102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05" w:type="dxa"/>
            <w:tcBorders/>
            <w:vAlign w:val="center"/>
          </w:tcPr>
          <w:p>
            <w:pPr>
              <w:pStyle w:val="TableContents"/>
              <w:bidi w:val="0"/>
              <w:spacing w:before="0" w:after="283"/>
              <w:jc w:val="center"/>
              <w:rPr/>
            </w:pPr>
            <w:r>
              <w:rPr/>
              <w:t> </w:t>
            </w:r>
          </w:p>
        </w:tc>
        <w:tc>
          <w:tcPr>
            <w:tcW w:w="105" w:type="dxa"/>
            <w:tcBorders/>
            <w:vAlign w:val="center"/>
          </w:tcPr>
          <w:p>
            <w:pPr>
              <w:pStyle w:val="TableContents"/>
              <w:bidi w:val="0"/>
              <w:spacing w:before="0" w:after="283"/>
              <w:jc w:val="center"/>
              <w:rPr/>
            </w:pPr>
            <w:r>
              <w:rPr/>
              <w:t> </w:t>
            </w:r>
          </w:p>
        </w:tc>
        <w:tc>
          <w:tcPr>
            <w:tcW w:w="116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135" w:type="dxa"/>
            <w:tcBorders/>
            <w:vAlign w:val="center"/>
          </w:tcPr>
          <w:p>
            <w:pPr>
              <w:pStyle w:val="TableContents"/>
              <w:bidi w:val="0"/>
              <w:spacing w:before="0" w:after="283"/>
              <w:jc w:val="center"/>
              <w:rPr/>
            </w:pPr>
            <w:r>
              <w:rPr/>
              <w:t> </w:t>
            </w:r>
          </w:p>
        </w:tc>
      </w:tr>
      <w:tr>
        <w:trPr/>
        <w:tc>
          <w:tcPr>
            <w:tcW w:w="26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tax provision</w:t>
            </w:r>
          </w:p>
        </w:tc>
        <w:tc>
          <w:tcPr>
            <w:tcW w:w="90" w:type="dxa"/>
            <w:tcBorders/>
            <w:vAlign w:val="center"/>
          </w:tcPr>
          <w:p>
            <w:pPr>
              <w:pStyle w:val="TableContents"/>
              <w:bidi w:val="0"/>
              <w:spacing w:before="0" w:after="283"/>
              <w:jc w:val="left"/>
              <w:rPr/>
            </w:pPr>
            <w:r>
              <w:rPr/>
              <w:t> </w:t>
            </w:r>
          </w:p>
        </w:tc>
        <w:tc>
          <w:tcPr>
            <w:tcW w:w="1028" w:type="dxa"/>
            <w:gridSpan w:val="2"/>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028" w:type="dxa"/>
            <w:gridSpan w:val="2"/>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168"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Cayman Islands</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shd w:fill="CCEEFF" w:val="clear"/>
            <w:vAlign w:val="center"/>
          </w:tcPr>
          <w:p>
            <w:pPr>
              <w:pStyle w:val="TableContents"/>
              <w:bidi w:val="0"/>
              <w:spacing w:before="0" w:after="283"/>
              <w:jc w:val="right"/>
              <w:rPr/>
            </w:pPr>
            <w:r>
              <w:rPr/>
              <w:t>-</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shd w:fill="CCEEFF" w:val="clear"/>
            <w:vAlign w:val="center"/>
          </w:tcPr>
          <w:p>
            <w:pPr>
              <w:pStyle w:val="TableContents"/>
              <w:bidi w:val="0"/>
              <w:spacing w:before="0" w:after="283"/>
              <w:jc w:val="right"/>
              <w:rPr/>
            </w:pPr>
            <w:r>
              <w:rPr/>
              <w:t>-</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7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BVI</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Hong Kong</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PRC</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74,155</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74,604</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119,416</w:t>
            </w:r>
          </w:p>
        </w:tc>
        <w:tc>
          <w:tcPr>
            <w:tcW w:w="135" w:type="dxa"/>
            <w:tcBorders/>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w:t>
            </w:r>
          </w:p>
        </w:tc>
        <w:tc>
          <w:tcPr>
            <w:tcW w:w="90" w:type="dxa"/>
            <w:tcBorders/>
            <w:shd w:fill="CCEEFF" w:val="clear"/>
            <w:vAlign w:val="cente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74,155</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98"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74,604</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98"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7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119,416</w:t>
            </w:r>
          </w:p>
        </w:tc>
        <w:tc>
          <w:tcPr>
            <w:tcW w:w="135" w:type="dxa"/>
            <w:tcBorders/>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 provision</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Cayman Islands</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vAlign w:val="center"/>
          </w:tcPr>
          <w:p>
            <w:pPr>
              <w:pStyle w:val="TableContents"/>
              <w:bidi w:val="0"/>
              <w:spacing w:before="0" w:after="283"/>
              <w:jc w:val="right"/>
              <w:rPr/>
            </w:pPr>
            <w:r>
              <w:rPr/>
              <w:t>-</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vAlign w:val="center"/>
          </w:tcPr>
          <w:p>
            <w:pPr>
              <w:pStyle w:val="TableContents"/>
              <w:bidi w:val="0"/>
              <w:spacing w:before="0" w:after="283"/>
              <w:jc w:val="right"/>
              <w:rPr/>
            </w:pPr>
            <w:r>
              <w:rPr/>
              <w:t>-</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70"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BVI</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Hong Kong</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PRC</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w:t>
            </w:r>
          </w:p>
        </w:tc>
        <w:tc>
          <w:tcPr>
            <w:tcW w:w="90" w:type="dxa"/>
            <w:tcBorders/>
            <w:vAlign w:val="center"/>
          </w:tcPr>
          <w:p>
            <w:pPr>
              <w:pStyle w:val="TableContents"/>
              <w:bidi w:val="0"/>
              <w:spacing w:before="0" w:after="283"/>
              <w:jc w:val="left"/>
              <w:rPr/>
            </w:pPr>
            <w:r>
              <w:rPr/>
              <w:t> </w:t>
            </w:r>
          </w:p>
        </w:tc>
        <w:tc>
          <w:tcPr>
            <w:tcW w:w="198"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98"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98" w:type="dxa"/>
            <w:tcBorders>
              <w:bottom w:val="single" w:sz="12" w:space="0" w:color="000000"/>
            </w:tcBorders>
            <w:tcMar>
              <w:bottom w:w="28" w:type="dxa"/>
            </w:tcMar>
            <w:vAlign w:val="center"/>
          </w:tcPr>
          <w:p>
            <w:pPr>
              <w:pStyle w:val="TableContents"/>
              <w:bidi w:val="0"/>
              <w:spacing w:before="0" w:after="283"/>
              <w:jc w:val="left"/>
              <w:rPr/>
            </w:pPr>
            <w:r>
              <w:rPr/>
              <w:t> </w:t>
            </w:r>
          </w:p>
        </w:tc>
        <w:tc>
          <w:tcPr>
            <w:tcW w:w="970" w:type="dxa"/>
            <w:tcBorders>
              <w:bottom w:val="single" w:sz="12" w:space="0" w:color="000000"/>
            </w:tcBorders>
            <w:tcMar>
              <w:bottom w:w="28" w:type="dxa"/>
            </w:tcMar>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98"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98"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7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income tax provisions</w:t>
            </w:r>
          </w:p>
        </w:tc>
        <w:tc>
          <w:tcPr>
            <w:tcW w:w="90" w:type="dxa"/>
            <w:tcBorders/>
            <w:vAlign w:val="center"/>
          </w:tcPr>
          <w:p>
            <w:pPr>
              <w:pStyle w:val="TableContents"/>
              <w:bidi w:val="0"/>
              <w:spacing w:before="0" w:after="283"/>
              <w:jc w:val="left"/>
              <w:rPr/>
            </w:pPr>
            <w:r>
              <w:rPr/>
              <w:t> </w:t>
            </w:r>
          </w:p>
        </w:tc>
        <w:tc>
          <w:tcPr>
            <w:tcW w:w="198"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74,155</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98"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74,604</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98"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7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119,416</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Reconciliation of the differences between the income tax provision computed based on PRC statutory income tax rate and the Company’s actual income tax provision for the years ended December 31, 2025, 2024 and 2023 are as follows:</w:t>
      </w:r>
    </w:p>
    <w:p>
      <w:pPr>
        <w:pStyle w:val="TextBody"/>
        <w:bidi w:val="0"/>
        <w:spacing w:before="0" w:after="0"/>
        <w:ind w:left="0" w:right="0" w:hanging="0"/>
        <w:jc w:val="left"/>
        <w:rPr>
          <w:caps w:val="false"/>
          <w:smallCaps w:val="false"/>
        </w:rPr>
      </w:pPr>
      <w:r>
        <w:rPr>
          <w:caps w:val="false"/>
          <w:smallCaps w:val="false"/>
        </w:rPr>
        <w:t> </w:t>
      </w:r>
    </w:p>
    <w:tbl>
      <w:tblPr>
        <w:tblW w:w="9545" w:type="dxa"/>
        <w:jc w:val="left"/>
        <w:tblInd w:w="0" w:type="dxa"/>
        <w:tblLayout w:type="fixed"/>
        <w:tblCellMar>
          <w:top w:w="0" w:type="dxa"/>
          <w:left w:w="0" w:type="dxa"/>
          <w:bottom w:w="0" w:type="dxa"/>
          <w:right w:w="0" w:type="dxa"/>
        </w:tblCellMar>
      </w:tblPr>
      <w:tblGrid>
        <w:gridCol w:w="5630"/>
        <w:gridCol w:w="90"/>
        <w:gridCol w:w="170"/>
        <w:gridCol w:w="905"/>
        <w:gridCol w:w="125"/>
        <w:gridCol w:w="90"/>
        <w:gridCol w:w="170"/>
        <w:gridCol w:w="905"/>
        <w:gridCol w:w="125"/>
        <w:gridCol w:w="90"/>
        <w:gridCol w:w="170"/>
        <w:gridCol w:w="905"/>
        <w:gridCol w:w="170"/>
      </w:tblGrid>
      <w:tr>
        <w:trPr/>
        <w:tc>
          <w:tcPr>
            <w:tcW w:w="56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3655"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Years Ended December 31,</w:t>
            </w:r>
          </w:p>
        </w:tc>
        <w:tc>
          <w:tcPr>
            <w:tcW w:w="170" w:type="dxa"/>
            <w:tcBorders/>
            <w:vAlign w:val="center"/>
          </w:tcPr>
          <w:p>
            <w:pPr>
              <w:pStyle w:val="TableContents"/>
              <w:bidi w:val="0"/>
              <w:spacing w:before="0" w:after="283"/>
              <w:jc w:val="center"/>
              <w:rPr/>
            </w:pPr>
            <w:r>
              <w:rPr/>
              <w:t> </w:t>
            </w:r>
          </w:p>
        </w:tc>
      </w:tr>
      <w:tr>
        <w:trPr/>
        <w:tc>
          <w:tcPr>
            <w:tcW w:w="56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170" w:type="dxa"/>
            <w:tcBorders/>
            <w:vAlign w:val="center"/>
          </w:tcPr>
          <w:p>
            <w:pPr>
              <w:pStyle w:val="TableContents"/>
              <w:bidi w:val="0"/>
              <w:spacing w:before="0" w:after="283"/>
              <w:jc w:val="center"/>
              <w:rPr/>
            </w:pPr>
            <w:r>
              <w:rPr/>
              <w:t> </w:t>
            </w:r>
          </w:p>
        </w:tc>
      </w:tr>
      <w:tr>
        <w:trPr/>
        <w:tc>
          <w:tcPr>
            <w:tcW w:w="56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 expense computed based on PRC statutory rate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65,423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207,722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38,251</w:t>
            </w:r>
          </w:p>
        </w:tc>
        <w:tc>
          <w:tcPr>
            <w:tcW w:w="170" w:type="dxa"/>
            <w:tcBorders/>
            <w:shd w:fill="CCEEFF" w:val="clear"/>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Favorable tax rate and tax exemption impact in PRC entities </w:t>
            </w:r>
            <w:r>
              <w:rPr>
                <w:rFonts w:ascii="Times New Roman;Times;Serif" w:hAnsi="Times New Roman;Times;Serif"/>
                <w:position w:val="7"/>
                <w:sz w:val="16"/>
                <w:sz w:val="20"/>
              </w:rPr>
              <w:t>(a)</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(141,611</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(480,781</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(339,626</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6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 of rate differential for non-PRC entities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(39,931</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(110,979</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(58,967</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6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valuation allowance</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190,274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458,642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479,758</w:t>
            </w:r>
          </w:p>
        </w:tc>
        <w:tc>
          <w:tcPr>
            <w:tcW w:w="170" w:type="dxa"/>
            <w:tcBorders/>
            <w:vAlign w:val="center"/>
          </w:tcPr>
          <w:p>
            <w:pPr>
              <w:pStyle w:val="TableContents"/>
              <w:bidi w:val="0"/>
              <w:spacing w:before="0" w:after="283"/>
              <w:jc w:val="left"/>
              <w:rPr/>
            </w:pPr>
            <w:r>
              <w:rPr/>
              <w:t> </w:t>
            </w:r>
          </w:p>
        </w:tc>
      </w:tr>
      <w:tr>
        <w:trPr/>
        <w:tc>
          <w:tcPr>
            <w:tcW w:w="56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income tax provisions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74,155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74,604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119,416</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During the years ended December 31, 2025, 2024 and 2023, Xinjiang United Family and its branch offices were subject to 25% income tax rate. For the years ended December 31, 2025, 2024 and 2023, 17, 13 and 13 of these UFG entities paid income tax, respectively. The rest of these UFG entities were exempted from paying income tax. For the years ended December 31, 2025, 2024 and 2023, the tax saving as the result of the favorable tax rates and tax exemption amounted to $141,611, $480,781 and $339,626, respectively, and per share effect of the favorable tax rate and tax exemption was $0.03, $2.34 and $2.35, respectively.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deferred tax assets, net was comprised of the following:</w:t>
      </w:r>
    </w:p>
    <w:p>
      <w:pPr>
        <w:pStyle w:val="TextBody"/>
        <w:bidi w:val="0"/>
        <w:spacing w:before="0" w:after="0"/>
        <w:ind w:left="0" w:right="0" w:firstLine="420"/>
        <w:jc w:val="left"/>
        <w:rPr>
          <w:caps w:val="false"/>
          <w:smallCaps w:val="false"/>
        </w:rPr>
      </w:pPr>
      <w:r>
        <w:rPr>
          <w:caps w:val="false"/>
          <w:smallCaps w:val="false"/>
        </w:rPr>
        <w:t> </w:t>
      </w:r>
    </w:p>
    <w:tbl>
      <w:tblPr>
        <w:tblW w:w="6115" w:type="dxa"/>
        <w:jc w:val="left"/>
        <w:tblInd w:w="0" w:type="dxa"/>
        <w:tblLayout w:type="fixed"/>
        <w:tblCellMar>
          <w:top w:w="0" w:type="dxa"/>
          <w:left w:w="0" w:type="dxa"/>
          <w:bottom w:w="0" w:type="dxa"/>
          <w:right w:w="0" w:type="dxa"/>
        </w:tblCellMar>
      </w:tblPr>
      <w:tblGrid>
        <w:gridCol w:w="2750"/>
        <w:gridCol w:w="90"/>
        <w:gridCol w:w="195"/>
        <w:gridCol w:w="1250"/>
        <w:gridCol w:w="125"/>
        <w:gridCol w:w="90"/>
        <w:gridCol w:w="195"/>
        <w:gridCol w:w="1250"/>
        <w:gridCol w:w="170"/>
      </w:tblGrid>
      <w:tr>
        <w:trPr/>
        <w:tc>
          <w:tcPr>
            <w:tcW w:w="275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w:t>
              <w:br/>
              <w:t>2025</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w:t>
              <w:br/>
              <w:t>2024</w:t>
            </w:r>
          </w:p>
        </w:tc>
        <w:tc>
          <w:tcPr>
            <w:tcW w:w="170" w:type="dxa"/>
            <w:tcBorders/>
            <w:vAlign w:val="center"/>
          </w:tcPr>
          <w:p>
            <w:pPr>
              <w:pStyle w:val="TableContents"/>
              <w:bidi w:val="0"/>
              <w:spacing w:before="0" w:after="283"/>
              <w:jc w:val="center"/>
              <w:rPr/>
            </w:pPr>
            <w:r>
              <w:rPr/>
              <w:t> </w:t>
            </w:r>
          </w:p>
        </w:tc>
      </w:tr>
      <w:tr>
        <w:trPr/>
        <w:tc>
          <w:tcPr>
            <w:tcW w:w="27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operating loss</w:t>
            </w:r>
          </w:p>
        </w:tc>
        <w:tc>
          <w:tcPr>
            <w:tcW w:w="90"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3,572,145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3,381,871</w:t>
            </w:r>
          </w:p>
        </w:tc>
        <w:tc>
          <w:tcPr>
            <w:tcW w:w="170" w:type="dxa"/>
            <w:tcBorders/>
            <w:shd w:fill="CCEEFF" w:val="clear"/>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deferred tax assets</w:t>
            </w:r>
          </w:p>
        </w:tc>
        <w:tc>
          <w:tcPr>
            <w:tcW w:w="9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3,572,145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3,381,871</w:t>
            </w:r>
          </w:p>
        </w:tc>
        <w:tc>
          <w:tcPr>
            <w:tcW w:w="170" w:type="dxa"/>
            <w:tcBorders/>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Valuation allowance</w:t>
            </w:r>
          </w:p>
        </w:tc>
        <w:tc>
          <w:tcPr>
            <w:tcW w:w="90"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(3,572,145</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(3,381,871</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7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deferred tax assets, net</w:t>
            </w:r>
          </w:p>
        </w:tc>
        <w:tc>
          <w:tcPr>
            <w:tcW w:w="90" w:type="dxa"/>
            <w:tcBorders/>
            <w:vAlign w:val="center"/>
          </w:tcPr>
          <w:p>
            <w:pPr>
              <w:pStyle w:val="TableContents"/>
              <w:bidi w:val="0"/>
              <w:spacing w:before="0" w:after="283"/>
              <w:jc w:val="left"/>
              <w:rPr/>
            </w:pPr>
            <w:r>
              <w:rPr/>
              <w:t> </w:t>
            </w:r>
          </w:p>
        </w:tc>
        <w:tc>
          <w:tcPr>
            <w:tcW w:w="195"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50" w:type="dxa"/>
            <w:tcBorders>
              <w:bottom w:val="double" w:sz="10"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5"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50" w:type="dxa"/>
            <w:tcBorders>
              <w:bottom w:val="double" w:sz="10" w:space="0" w:color="000000"/>
            </w:tcBorders>
            <w:tcMar>
              <w:bottom w:w="28" w:type="dxa"/>
            </w:tcMar>
            <w:vAlign w:val="center"/>
          </w:tcPr>
          <w:p>
            <w:pPr>
              <w:pStyle w:val="TableContents"/>
              <w:bidi w:val="0"/>
              <w:spacing w:before="0" w:after="283"/>
              <w:jc w:val="right"/>
              <w:rPr/>
            </w:pPr>
            <w:r>
              <w:rPr/>
              <w:t>-</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operations in the U.S. incurred a cumulative net operating loss (“NOL”) which may reduce future federal taxable income. As of December 31, 2024, the cumulative NOL was $16,104,143. During the year ended December 31, 2025, the U.S. operations incurred an additional NOL of $906,068, resulting in a cumulative NOL of $17,010,211 as of December 31, 2025, among which approximately $2,882,465 will expire in 2037 and the remaining balance is carried forward indefinitely.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periodically evaluates the likelihood of the realization of deferred tax assets, and reduces the carrying amount of the deferred tax assets by a valuation allowance to the extent it believes a portion will not be realized. Management considers new evidence, both positive and negative, that could affect the Company’s future realization of deferred tax assets including its recent cumulative earnings experience, expectation of future income, the carry forward periods available for tax reporting purposes and other relevant factors. The Company determined that it is more likely than not its deferred tax assets could not be realized due to uncertainty on future earnings in the U.S. operations. The Company provided a 100% valuation allowance for its deferred tax assets as of December 31, 2025 and 2024, respectively.</w:t>
      </w:r>
    </w:p>
    <w:p>
      <w:pPr>
        <w:pStyle w:val="TextBody"/>
        <w:bidi w:val="0"/>
        <w:spacing w:before="0" w:after="0"/>
        <w:ind w:left="0" w:right="0" w:hanging="0"/>
        <w:jc w:val="both"/>
        <w:rPr>
          <w:caps w:val="false"/>
          <w:smallCaps w:val="false"/>
        </w:rPr>
      </w:pPr>
      <w:r>
        <w:rPr>
          <w:caps w:val="false"/>
          <w:smallCaps w:val="false"/>
        </w:rPr>
        <w:t> </w:t>
      </w:r>
    </w:p>
    <w:tbl>
      <w:tblPr>
        <w:tblW w:w="1615" w:type="dxa"/>
        <w:jc w:val="left"/>
        <w:tblInd w:w="0" w:type="dxa"/>
        <w:tblLayout w:type="fixed"/>
        <w:tblCellMar>
          <w:top w:w="0" w:type="dxa"/>
          <w:left w:w="0" w:type="dxa"/>
          <w:bottom w:w="0" w:type="dxa"/>
          <w:right w:w="0" w:type="dxa"/>
        </w:tblCellMar>
      </w:tblPr>
      <w:tblGrid>
        <w:gridCol w:w="290"/>
        <w:gridCol w:w="1325"/>
      </w:tblGrid>
      <w:tr>
        <w:trPr/>
        <w:tc>
          <w:tcPr>
            <w:tcW w:w="2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w:t>
            </w:r>
          </w:p>
        </w:tc>
        <w:tc>
          <w:tcPr>
            <w:tcW w:w="132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Taxes payable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 payable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5699" w:type="dxa"/>
        <w:jc w:val="left"/>
        <w:tblInd w:w="0" w:type="dxa"/>
        <w:tblLayout w:type="fixed"/>
        <w:tblCellMar>
          <w:top w:w="0" w:type="dxa"/>
          <w:left w:w="0" w:type="dxa"/>
          <w:bottom w:w="0" w:type="dxa"/>
          <w:right w:w="0" w:type="dxa"/>
        </w:tblCellMar>
      </w:tblPr>
      <w:tblGrid>
        <w:gridCol w:w="2405"/>
        <w:gridCol w:w="90"/>
        <w:gridCol w:w="245"/>
        <w:gridCol w:w="1199"/>
        <w:gridCol w:w="90"/>
        <w:gridCol w:w="90"/>
        <w:gridCol w:w="279"/>
        <w:gridCol w:w="1166"/>
        <w:gridCol w:w="135"/>
      </w:tblGrid>
      <w:tr>
        <w:trPr/>
        <w:tc>
          <w:tcPr>
            <w:tcW w:w="2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w:t>
              <w:br/>
              <w:t>2025</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w:t>
              <w:br/>
              <w:t>2024</w:t>
            </w:r>
          </w:p>
        </w:tc>
        <w:tc>
          <w:tcPr>
            <w:tcW w:w="135" w:type="dxa"/>
            <w:tcBorders/>
            <w:vAlign w:val="center"/>
          </w:tcPr>
          <w:p>
            <w:pPr>
              <w:pStyle w:val="TableContents"/>
              <w:bidi w:val="0"/>
              <w:spacing w:before="0" w:after="283"/>
              <w:jc w:val="center"/>
              <w:rPr/>
            </w:pPr>
            <w:r>
              <w:rPr/>
              <w:t> </w:t>
            </w:r>
          </w:p>
        </w:tc>
      </w:tr>
      <w:tr>
        <w:trPr/>
        <w:tc>
          <w:tcPr>
            <w:tcW w:w="24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 payable</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5,852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7,899</w:t>
            </w:r>
          </w:p>
        </w:tc>
        <w:tc>
          <w:tcPr>
            <w:tcW w:w="135" w:type="dxa"/>
            <w:tcBorders/>
            <w:shd w:fill="CCEEFF" w:val="clear"/>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Value added tax payable</w:t>
            </w:r>
          </w:p>
        </w:tc>
        <w:tc>
          <w:tcPr>
            <w:tcW w:w="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67,360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2,440</w:t>
            </w:r>
          </w:p>
        </w:tc>
        <w:tc>
          <w:tcPr>
            <w:tcW w:w="135" w:type="dxa"/>
            <w:tcBorders/>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taxes payable</w:t>
            </w:r>
          </w:p>
        </w:tc>
        <w:tc>
          <w:tcPr>
            <w:tcW w:w="90" w:type="dxa"/>
            <w:tcBorders/>
            <w:shd w:fill="CCEEFF" w:val="clear"/>
            <w:vAlign w:val="center"/>
          </w:tcPr>
          <w:p>
            <w:pPr>
              <w:pStyle w:val="TableContents"/>
              <w:bidi w:val="0"/>
              <w:spacing w:before="0" w:after="283"/>
              <w:jc w:val="left"/>
              <w:rPr/>
            </w:pPr>
            <w:r>
              <w:rPr/>
              <w:t> </w:t>
            </w:r>
          </w:p>
        </w:tc>
        <w:tc>
          <w:tcPr>
            <w:tcW w:w="2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176,088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38,373</w:t>
            </w:r>
          </w:p>
        </w:tc>
        <w:tc>
          <w:tcPr>
            <w:tcW w:w="135" w:type="dxa"/>
            <w:tcBorders/>
            <w:shd w:fill="CCEEFF" w:val="clear"/>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taxes payable</w:t>
            </w:r>
          </w:p>
        </w:tc>
        <w:tc>
          <w:tcPr>
            <w:tcW w:w="90" w:type="dxa"/>
            <w:tcBorders/>
            <w:vAlign w:val="center"/>
          </w:tcPr>
          <w:p>
            <w:pPr>
              <w:pStyle w:val="TableContents"/>
              <w:bidi w:val="0"/>
              <w:spacing w:before="0" w:after="283"/>
              <w:jc w:val="left"/>
              <w:rPr/>
            </w:pPr>
            <w:r>
              <w:rPr/>
              <w:t> </w:t>
            </w:r>
          </w:p>
        </w:tc>
        <w:tc>
          <w:tcPr>
            <w:tcW w:w="245"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9"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249,300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9"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6"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48,712</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14 — SHAREHOLDERS’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Ordinary Shares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Chanson International (formerly known as RON Holding Limited) was incorporated under the laws of the Cayman Islands on July 26, 2019. Upon incorporation, the authorized share capital of the Company was US$50,000 divided into 50,000 ordinary shares of par value US$1.00 each and 100 ordinary shares were issued. The issuance of these 100 ordinary shares, and the 1,000-for-1 share split (as described below) and the subsequent share issuances are considered as a part of the Reorganization of the Company, which was retroactively applied as if the transaction occurred at the beginning of the period presented (see Note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27, 2021, the Company’s shareholders and board of directors approved (i) the subdivision of the Company’s authorized and issued share capital at a ratio of 1,000-for-1 share such that the authorized share capital of the Company was amended to US$50,000 divided into 50,000,000 ordinary shares of par value US$0.001 each and the 100 ordinary shares of a par value of $1 then issued and outstanding were subdivided into 100,000 ordinary shares of a par value of $0.001 (the “1,000-for-1 share split”); (ii) the creation of Class A Ordinary Shares and Class B ordinary shares, par value $0.001 per share (“Class B Ordinary Shares”, and collectively with Class A Ordinary Shares, “Ordinary Shares”). Holders of Class A Ordinary Shares and Class B Ordinary Shares have the same rights except for voting and conversion rights. In respect of matters requiring a vote of all shareholders, each holder of Class A Ordinary Shares will be entitled to one vote per one Class A Ordinary Share and each holder of Class B Ordinary Shares will be entitled to 10 votes per one Class B Ordinary Share. The Class A Ordinary Shares are not convertible into shares of any other class. The Class B Ordinary Shares are convertible into Class A Ordinary Shares at any time after issuance at the option of the holder on a one-to-one basis; (iii) the re-designation of 3,000 ordinary shares held by Haily Global Limited into 3,000 Class B Ordinary Shares; and (iv) issuances of Class A Ordinary Shares and Class B Ordinary Shares to the existing shareholders, to increase the number of total Ordinary Shares issued and outstanding prior to the completion of this offering from 100,000 to 9,000,000 (the “share issuances”). The Company believes the 1,000-for-1 share split and the share issuances should be considered as a part of the Reorganization of the Company and accounted for on a retroactive basis pursuant to ASC 260. The Company has retroactively restated all shares and per share data for all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12, 2025, the Company’s shareholders resolved to increase the authorized share capital from US$50,000 divided into 44,000,000 Class A Ordinary Shares of US$0.001 par value each and 6,000,000 Class B Ordinary Shares of US$0.001 par value each, to US$5,000,000 divided into 4,400,000,000 Class A Ordinary Shares of US$0.001 par value each and 600,000,000 Class B Ordinary Shares of US$0.001 par value 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 2025, the Company’s board of directors approved a 1-for-80 reverse stock split of its ordinary shares, which became effective on August 18, 2025 (the “Reverse Share Split”). As a result of the Reverse Share Split, each of the eighty pre-split ordinary shares outstanding automatically combined and converted to one issued and outstanding ordinary share without any action on the part of the shareholders. No fractional shares were issued to any shareholders in connection with the Reverse Share Split. Each shareholder received one share of the Company in lieu of the fractional share that would have resulted from the Reverse Share Split. As a result of the Reverse Share Split, the par value changed from $0.001 to $0.08 accordingly. At the same time, the Company’s authorized share capital changed from US$5,000,000 divided into 4,400,000,000 Class A Ordinary Shares of US$0.001 par value each and 600,000,000 Class B ordinary shares of US$0.001 par value each, to US$5,000,000 divided into 55,000,000 Class A Ordinary Shares of US$0.08 par value each and 7,500,000 Class B Ordinary Shares of US$0.08 par value each. The Company has retroactively restated all shares and per share data for all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12, 2025, the Company’s shareholders resolved to increase the authorized share capital from US$5,000,000 divided into 55,000,000 Class A Ordinary Shares of US$0.08 par value each and 7,500,000 Class B Ordinary Shares of US$0.08 par value each to US$165,000,000 divided into 2,055,000,000 Class A Ordinary Shares of US$0.08 par value each and 7,500,000 Class B Ordinary Shares of US$0.08 par value 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23, 2026, the Company’s shareholders resolved a series resolution relating to the reduction and reorganization of the Company’s share capital (the “Share Capital Reduction and Reorganisation”), and on March 13, 2026, the Share Capital Reduction and Reorganisation were approved by the Registrar of Companies of the Cayman Islands (the “Cayman Registrar”). This transaction did not impact the number of issued and outstanding shares and therefore did not affect the earnings per share calculation for the year ended December 31, 2025. The principal components of the Share Capital Reduction and Reorganisation are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84"/>
        <w:gridCol w:w="9953"/>
      </w:tblGrid>
      <w:tr>
        <w:trPr/>
        <w:tc>
          <w:tcPr>
            <w:tcW w:w="6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95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increase the authorized share capital from US$165,000,000 divided into 2,055,000,000 Class A Ordinary Shares of US$0.08 par value each and 7,500,000 Class B Ordinary Shares of US$0.08 par value each to US$330,000,000 divided into 4,110,000,000 Class A Ordinary Shares of US$0.08 par value each and 15,000,000 Class B Ordinary Shares of US$0.08 par value each.</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79"/>
        <w:gridCol w:w="9958"/>
      </w:tblGrid>
      <w:tr>
        <w:trPr/>
        <w:tc>
          <w:tcPr>
            <w:tcW w:w="6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9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par value of each issued and outstanding Class A Ordinary Share of US$0.08 par value each and Class B Ordinary Share of US$0.08 par value each in the share capital of the Company be reduced to US$0.0001 by cancelling US$0.0799 of the paid-up capital on each of the issued and outstanding Class A Ordinary Shares of US$0.08 par value each and Class B Ordinary Shares of US$0.08 par value each (the “Share Capital Reduction”). Following the Share Capital Reduction, the amount deemed to be paid up on each issued and outstanding share of the Company shall be US$0.0001.</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83"/>
        <w:gridCol w:w="9954"/>
      </w:tblGrid>
      <w:tr>
        <w:trPr/>
        <w:tc>
          <w:tcPr>
            <w:tcW w:w="6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95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Immediately following the Share Capital Reduction, each authorized but unissued Class A Ordinary Share of US$0.08 par value each be subdivided into 800 Class A Ordinary Shares of US$0.0001 par value each, and each authorized but unissued Class B Ordinary Share of US$0.08 par value each be subdivided into 800 Class B Ordinary Shares of US$0.0001 par value each (the “Subdivision”).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81"/>
        <w:gridCol w:w="9956"/>
      </w:tblGrid>
      <w:tr>
        <w:trPr/>
        <w:tc>
          <w:tcPr>
            <w:tcW w:w="6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995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Immediately following the Subdivision, the authorized share capital of the Company be altered by the cancellation of such number of unissued Class A Ordinary Shares of US$0.0001 par value each and unissued Class B Ordinary Shares of US$0.0001 par value each that resulted in the Company having authorized share capital of US$412,500 divided into 4,110,000,000 Class A Ordinary Shares of US$0.0001 par value each and 15,000,000 Class B Ordinary Shares of US$0.0001 par value each.</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the Company’s authorized share capital is now US$412,500 divided into 4,110,000,000 Class A Ordinary Shares of US$0.0001 par value each and 15,000,000 Class B Ordinary Shares of US$0.0001 par value 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Initial Public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 2023, the Company closed its IPO of 42,375 Class A Ordinary Shares at a public offering price of $320.00 per Class A Ordinary Share for the total gross proceeds of $13.6 million before deducting underwriting discounts and other related expenses. Net proceeds of the Company’s IPO were approximately $12.0 million. The Company’s Class A Ordinary Shares began trading on the Nasdaq Capital Market under the ticker symbol “CHSN” on March 30,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Representative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Company’s IPO, the Company agreed to issue warrants to the representative of several underwriters (“Representative warrants”), exercisable for a period of four and a half years commencing six months from the date of commencement of sales of the offering, to purchase 848 Class A Ordinary Shares at $320.00 per Class A Ordinary Share. As the Representative warrants are considered indexed to the Company’s own stock and meet the criteria for equity classification according to ASC 815-40, therefore, the Representative warrants are classified as equity on the consolidated balance sheets. The warrants classified as equity are not subject to remeasurement after initial recognition. On December 13, 2023, 441 Class A Ordinary Share were issued as the Representative warrants were fully exercised on a cashless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 of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5, 2024, the Company’s shareholder Haily Global Limited elected to convert 3,375 Class B Ordinary Shares on a one-for-one basis into 3,375 Class A Ordinary Shares, which was duly approved by the Company’s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Issuance of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13, 2024, the Company entered into a securities purchase agreement with certain investors identified therein for a best efforts follow-on public offering of (i) 112,253 Class A Ordinary Shares, and (ii) 112,253 common warrants to purchase 112,253 Class A Ordinary Shares, at an exercise price of $77.76 per share, exercisable within one year anniversary of the closing of the offering. The Class A Ordinary Shares and common warrants were sold at a combined public offering price of $64.80 per share and accompanying warrants. The offering was closed on September 17, 2024, and the Company received aggregate gross proceeds of $7.3 million from the offering, before deducting offering expenses and commissions, excluding the exercise of any common warrants. During the year ended December 31, 2024, 73,677 Class A Ordinary Shares were issued as all the common warrants were exercised on a cashless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5, 2025, the Company entered into a securities purchase agreement with certain investors for a private placement offering of 37,500,000 Class A Ordinary Shares at the subscription price of US$0.80 per Class A Ordinary Share. All of the Class A Ordinary Shares was issued on November 18, 2025, and the Company received aggregate gross proceeds of $30.0 million from the offering, before deducting offering expenses and commissions.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number of shares used in the computation of earnings per share reflects the timing of share issuances during the year, including the issuance of 37,500,000 Class A Ordinary Shares in November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Issuance of the Equity Security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13, 2025, the Company priced a best-efforts public offering for the sale of units as described below. The offering was comprised of 200,000 units (each a “Unit”), consisting of (i) one Class A Ordinary Share, or in lieu thereof, a pre-funded warrant (each a “Pre-Funded Warrant”); (ii) one series A warrant to purchase one Class A Ordinary Share (each a “Series A Warrant”); and (iii) one series B warrant to purchase one Class A Ordinary Share (each a “Series B Warrant”). The public offering price of the Units was $40.00 per Unit. The Pre-Funded Warrants will be immediately exercisable (subject to the beneficial ownership limitation) and may be exercised at any time until all of the Pre-Funded Warrants are exercised in full. Each of the Series A Warrants and the Series B Warrants would have an exercise price of $42.00 per Class A Ordinary Share and be exercisable beginning on the date of the issuance date and ending on the two and half anniversary of the issuance date. Additionally, holders of Series B Warrants may affect a “zero exercise price option,” under which up to 937,500 Class A Ordinary Shares may be issuable in aggregate under all Series B Warrants. The Company registered up to 1,337,500 Class A Ordinary Shares underlying the Pre-Funded Warrants, the Series A Warrants and the Series B Warrants. The offering was closed on June 16, 2025, and the Company received aggregate gross proceeds of $8.0 million from the offering, before deducting placement agent fees and other estimated expenses payable by the Company, excluding the exercise of any warrant offered. During the year ended December 31, 2025, 62,500 Class A Ordinary Shares were directly issued; 137,500 Class A Ordinary Shares were issued upon the exercise of all Pre-Funded Warrants; and 937,500 Class A Ordinary Shares were issued upon on the exercise of all Series B Warrants at zero exercise price option. No Series A Warrants had been exercised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the Company had 4,110,000,000 authorized Class A Ordinary Shares of a par value of $0.0001, of which 38,907,905 shares and 270,372 Class A Ordinary Shares were issued and outstanding as of December 31, 2025 and 2024, respectively, and the Company had 15,000,000 authorized Class B Ordinary Shares of a par value of $0.0001, of which 70,875 Class B Ordinary Shares were issued and outstanding as of December 31, 2025 and 2024. In total, the Company had 4,125,000,000 authorized Ordinary Shares of par value of $0.0001 each, of which 38,978,780 shares and 341,247 shares were issued and outstanding as of December 31,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Statutory Reserve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PRC subsidiaries is required to make appropriations to certain reserve funds, comprising the statutory surplus reserve and the discretionary surplus reserve, based on after-tax net income determined in accordance with generally accepted accounting principles of the PRC (“PRC GAAP”). Appropriations to the statutory surplus reserve are required to be at least 10% of the after-tax net income determined in accordance with PRC GAAP until the reserve is equal to 50% of the entity’s registered capital. Appropriations to the discretionary surplus reserve are made at the discretion of the Board of Directors. The statutory reserve may be applied against prior year losses, if any, and may be used for general business expansion and production or increase in registered capital, but are not distributable as cash dividends. As of December 31, 2025 and 2024, the balance of the statutory reserves was $740,816 and $661,924,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net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PRC subsidiaries and the UFG entities are restricted in their ability to transfer a portion of their net assets, equivalent to their statutory reserves and their share capital to the Company in the form of loans, advances, or cash dividends. The payment of dividends by entities organized in China is subject to limitations, procedures, and formalities. Regulations in the PRC currently permit payment of dividends only out of accumulated profits as determined in accordance with accounting standards and regulations in China. As of December 31, 2025 and 2024, the total restricted net assets amounted to $6,382,727 and $3,516,301,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15 — 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is a party to various legal actions arising in the ordinary course of business. The Company accrues costs associated with these matters when they become probable and the amount can be reasonably estimated. Legal costs incurred in connection with loss contingencies are expensed as incurred. As of December 31, 2025 and 2024, there were no legal claims and litigation against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16 — SEGMENT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280, Segment Reporting, operating segments are defined as components of an enterprise about which separate financial information is available that is evaluated regularly by the chief operating decision maker (the “CODM”), or decision-making group, in deciding how to allocate resources and in assessing performance. The Company uses the “management approach” in determining reportable operating segments. The management approach considers the internal organization and reporting used by the Company’s CODM for making operating decisions and assessing performance as the source for determining the Company’s reportable segments. Management, including the CODM, reviews operation results by locations. Based on management’s assessment, the Company has determined that it has two operating segments, China and the United States and others.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identified the measure of segment profit or loss reviewed by the CODM as income (loss) from operations. The CODM uses this measure to evaluate segment performance and allocate resources. Significant segment expenses regularly provided to the CODM include cost of revenue, selling expenses, and general and administrative expenses, which are disclosed in the accompanying segment information. Other income and expenses are included in the measure of segment profit or loss reviewed by the CODM.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segment information for the years ended December 31, 2025, 2024 and 2023, respectively:</w:t>
      </w:r>
    </w:p>
    <w:p>
      <w:pPr>
        <w:pStyle w:val="TextBody"/>
        <w:bidi w:val="0"/>
        <w:spacing w:before="0" w:after="0"/>
        <w:ind w:left="0" w:right="0" w:hanging="0"/>
        <w:jc w:val="left"/>
        <w:rPr>
          <w:caps w:val="false"/>
          <w:smallCaps w:val="false"/>
        </w:rPr>
      </w:pPr>
      <w:r>
        <w:rPr>
          <w:caps w:val="false"/>
          <w:smallCaps w:val="false"/>
        </w:rPr>
        <w:t> </w:t>
      </w:r>
    </w:p>
    <w:tbl>
      <w:tblPr>
        <w:tblW w:w="9155" w:type="dxa"/>
        <w:jc w:val="left"/>
        <w:tblInd w:w="0" w:type="dxa"/>
        <w:tblLayout w:type="fixed"/>
        <w:tblCellMar>
          <w:top w:w="0" w:type="dxa"/>
          <w:left w:w="0" w:type="dxa"/>
          <w:bottom w:w="0" w:type="dxa"/>
          <w:right w:w="0" w:type="dxa"/>
        </w:tblCellMar>
      </w:tblPr>
      <w:tblGrid>
        <w:gridCol w:w="4610"/>
        <w:gridCol w:w="90"/>
        <w:gridCol w:w="170"/>
        <w:gridCol w:w="1130"/>
        <w:gridCol w:w="125"/>
        <w:gridCol w:w="90"/>
        <w:gridCol w:w="170"/>
        <w:gridCol w:w="1085"/>
        <w:gridCol w:w="125"/>
        <w:gridCol w:w="90"/>
        <w:gridCol w:w="170"/>
        <w:gridCol w:w="1130"/>
        <w:gridCol w:w="170"/>
      </w:tblGrid>
      <w:tr>
        <w:trPr/>
        <w:tc>
          <w:tcPr>
            <w:tcW w:w="46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4285"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For the Year Ended </w:t>
              <w:br/>
              <w:t>December 31, 2025</w:t>
            </w:r>
          </w:p>
        </w:tc>
        <w:tc>
          <w:tcPr>
            <w:tcW w:w="17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China</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United</w:t>
              <w:br/>
              <w:t>States and</w:t>
              <w:br/>
              <w:t>others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170"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Revenue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16,358,524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1,910,370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18,268,894</w:t>
            </w:r>
          </w:p>
        </w:tc>
        <w:tc>
          <w:tcPr>
            <w:tcW w:w="170" w:type="dxa"/>
            <w:tcBorders/>
            <w:shd w:fill="CCEEFF" w:val="clear"/>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Less: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Cost of revenue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8,805,577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1,245,314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10,050,891</w:t>
            </w:r>
          </w:p>
        </w:tc>
        <w:tc>
          <w:tcPr>
            <w:tcW w:w="170" w:type="dxa"/>
            <w:tcBorders/>
            <w:shd w:fill="CCEEFF" w:val="clear"/>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Selling expenses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5,520,173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741,407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6,261,580</w:t>
            </w:r>
          </w:p>
        </w:tc>
        <w:tc>
          <w:tcPr>
            <w:tcW w:w="170"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General and administrative expenses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1,246,282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2,597,266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3,843,548</w:t>
            </w:r>
          </w:p>
        </w:tc>
        <w:tc>
          <w:tcPr>
            <w:tcW w:w="170" w:type="dxa"/>
            <w:tcBorders/>
            <w:shd w:fill="CCEEFF" w:val="clear"/>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Income (loss) from operations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786,492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(2,673,617</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(1,887,125</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61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Other (expense) income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Interest expense, net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(180,893</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(7,434</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(188,327</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61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Other (expense) income, net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(170,361</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1,042,328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871,967</w:t>
            </w:r>
          </w:p>
        </w:tc>
        <w:tc>
          <w:tcPr>
            <w:tcW w:w="170" w:type="dxa"/>
            <w:tcBorders/>
            <w:shd w:fill="CCEEFF" w:val="clear"/>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Interest income from long term debt investments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427,823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1,037,357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1,465,180</w:t>
            </w:r>
          </w:p>
        </w:tc>
        <w:tc>
          <w:tcPr>
            <w:tcW w:w="170"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Profit (loss) before income tax expense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863,061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(601,366</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261,695</w:t>
            </w:r>
          </w:p>
        </w:tc>
        <w:tc>
          <w:tcPr>
            <w:tcW w:w="170" w:type="dxa"/>
            <w:tcBorders/>
            <w:shd w:fill="CCEEFF" w:val="clear"/>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Income tax expense</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(74,155</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(74,155</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61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income (loss)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788,906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(601,366</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187,540</w:t>
            </w:r>
          </w:p>
        </w:tc>
        <w:tc>
          <w:tcPr>
            <w:tcW w:w="170" w:type="dxa"/>
            <w:tcBorders/>
            <w:shd w:fill="CCEEFF" w:val="clear"/>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Depreciation</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675,020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214,702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889,722</w:t>
            </w:r>
          </w:p>
        </w:tc>
        <w:tc>
          <w:tcPr>
            <w:tcW w:w="170"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Capital expenditures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3,354,829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4,341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3,359,170</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265" w:type="dxa"/>
        <w:jc w:val="left"/>
        <w:tblInd w:w="0" w:type="dxa"/>
        <w:tblLayout w:type="fixed"/>
        <w:tblCellMar>
          <w:top w:w="0" w:type="dxa"/>
          <w:left w:w="0" w:type="dxa"/>
          <w:bottom w:w="0" w:type="dxa"/>
          <w:right w:w="0" w:type="dxa"/>
        </w:tblCellMar>
      </w:tblPr>
      <w:tblGrid>
        <w:gridCol w:w="4520"/>
        <w:gridCol w:w="90"/>
        <w:gridCol w:w="170"/>
        <w:gridCol w:w="1130"/>
        <w:gridCol w:w="125"/>
        <w:gridCol w:w="90"/>
        <w:gridCol w:w="170"/>
        <w:gridCol w:w="1085"/>
        <w:gridCol w:w="125"/>
        <w:gridCol w:w="90"/>
        <w:gridCol w:w="170"/>
        <w:gridCol w:w="1130"/>
        <w:gridCol w:w="370"/>
      </w:tblGrid>
      <w:tr>
        <w:trPr/>
        <w:tc>
          <w:tcPr>
            <w:tcW w:w="45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4285"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For the Year Ended </w:t>
              <w:br/>
              <w:t>December 31, 2024</w:t>
            </w:r>
          </w:p>
        </w:tc>
        <w:tc>
          <w:tcPr>
            <w:tcW w:w="370" w:type="dxa"/>
            <w:tcBorders/>
            <w:vAlign w:val="center"/>
          </w:tcPr>
          <w:p>
            <w:pPr>
              <w:pStyle w:val="TableContents"/>
              <w:bidi w:val="0"/>
              <w:spacing w:before="0" w:after="283"/>
              <w:jc w:val="center"/>
              <w:rPr/>
            </w:pPr>
            <w:r>
              <w:rPr/>
              <w:t> </w:t>
            </w:r>
          </w:p>
        </w:tc>
      </w:tr>
      <w:tr>
        <w:trPr/>
        <w:tc>
          <w:tcPr>
            <w:tcW w:w="45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China</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United</w:t>
              <w:br/>
              <w:t>States and</w:t>
              <w:br/>
              <w:t>others</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370" w:type="dxa"/>
            <w:tcBorders/>
            <w:vAlign w:val="center"/>
          </w:tcPr>
          <w:p>
            <w:pPr>
              <w:pStyle w:val="TableContents"/>
              <w:bidi w:val="0"/>
              <w:spacing w:before="0" w:after="283"/>
              <w:jc w:val="center"/>
              <w:rPr/>
            </w:pPr>
            <w:r>
              <w:rPr/>
              <w:t> </w:t>
            </w:r>
          </w:p>
        </w:tc>
      </w:tr>
      <w:tr>
        <w:trPr/>
        <w:tc>
          <w:tcPr>
            <w:tcW w:w="452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Revenue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16,142,693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2,084,844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18,227,537</w:t>
            </w:r>
          </w:p>
        </w:tc>
        <w:tc>
          <w:tcPr>
            <w:tcW w:w="370" w:type="dxa"/>
            <w:tcBorders/>
            <w:shd w:fill="CCEEFF" w:val="clear"/>
            <w:vAlign w:val="center"/>
          </w:tcPr>
          <w:p>
            <w:pPr>
              <w:pStyle w:val="TableContents"/>
              <w:bidi w:val="0"/>
              <w:spacing w:before="0" w:after="283"/>
              <w:jc w:val="left"/>
              <w:rPr/>
            </w:pPr>
            <w:r>
              <w:rPr/>
              <w:t> </w:t>
            </w:r>
          </w:p>
        </w:tc>
      </w:tr>
      <w:tr>
        <w:trPr/>
        <w:tc>
          <w:tcPr>
            <w:tcW w:w="45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Less: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eastAsia="Times New Roman;Times;Serif"/>
                <w:sz w:val="20"/>
              </w:rPr>
            </w:pPr>
            <w:r>
              <w:rPr>
                <w:rFonts w:eastAsia="Times New Roman;Times;Serif"/>
                <w:sz w:val="20"/>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eastAsia="Times New Roman;Times;Serif"/>
                <w:sz w:val="20"/>
              </w:rPr>
            </w:pPr>
            <w:r>
              <w:rPr>
                <w:rFonts w:eastAsia="Times New Roman;Times;Serif"/>
                <w:sz w:val="20"/>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eastAsia="Times New Roman;Times;Serif"/>
                <w:sz w:val="20"/>
              </w:rPr>
            </w:pPr>
            <w:r>
              <w:rPr>
                <w:rFonts w:eastAsia="Times New Roman;Times;Serif"/>
                <w:sz w:val="20"/>
              </w:rPr>
              <w:t>　</w:t>
            </w:r>
          </w:p>
        </w:tc>
        <w:tc>
          <w:tcPr>
            <w:tcW w:w="370" w:type="dxa"/>
            <w:tcBorders/>
            <w:vAlign w:val="center"/>
          </w:tcPr>
          <w:p>
            <w:pPr>
              <w:pStyle w:val="TableContents"/>
              <w:bidi w:val="0"/>
              <w:spacing w:before="0" w:after="283"/>
              <w:ind w:left="0" w:right="0" w:firstLine="200"/>
              <w:jc w:val="left"/>
              <w:rPr/>
            </w:pPr>
            <w:r>
              <w:rPr/>
              <w:t> </w:t>
            </w:r>
          </w:p>
        </w:tc>
      </w:tr>
      <w:tr>
        <w:trPr/>
        <w:tc>
          <w:tcPr>
            <w:tcW w:w="452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Cost of revenue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8,961,237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2,071,982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11,033,219</w:t>
            </w:r>
          </w:p>
        </w:tc>
        <w:tc>
          <w:tcPr>
            <w:tcW w:w="370" w:type="dxa"/>
            <w:tcBorders/>
            <w:shd w:fill="CCEEFF" w:val="clear"/>
            <w:vAlign w:val="center"/>
          </w:tcPr>
          <w:p>
            <w:pPr>
              <w:pStyle w:val="TableContents"/>
              <w:bidi w:val="0"/>
              <w:spacing w:before="0" w:after="283"/>
              <w:ind w:left="0" w:right="0" w:firstLine="200"/>
              <w:jc w:val="left"/>
              <w:rPr/>
            </w:pPr>
            <w:r>
              <w:rPr/>
              <w:t> </w:t>
            </w:r>
          </w:p>
        </w:tc>
      </w:tr>
      <w:tr>
        <w:trPr/>
        <w:tc>
          <w:tcPr>
            <w:tcW w:w="45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Selling expenses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3,929,035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828,244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4,757,279</w:t>
            </w:r>
          </w:p>
        </w:tc>
        <w:tc>
          <w:tcPr>
            <w:tcW w:w="370" w:type="dxa"/>
            <w:tcBorders/>
            <w:vAlign w:val="center"/>
          </w:tcPr>
          <w:p>
            <w:pPr>
              <w:pStyle w:val="TableContents"/>
              <w:bidi w:val="0"/>
              <w:spacing w:before="0" w:after="283"/>
              <w:ind w:left="0" w:right="0" w:firstLine="200"/>
              <w:jc w:val="left"/>
              <w:rPr/>
            </w:pPr>
            <w:r>
              <w:rPr/>
              <w:t> </w:t>
            </w:r>
          </w:p>
        </w:tc>
      </w:tr>
      <w:tr>
        <w:trPr/>
        <w:tc>
          <w:tcPr>
            <w:tcW w:w="452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General and administrative expenses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905,811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2,060,848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2,966,659</w:t>
            </w:r>
          </w:p>
        </w:tc>
        <w:tc>
          <w:tcPr>
            <w:tcW w:w="370" w:type="dxa"/>
            <w:tcBorders/>
            <w:shd w:fill="CCEEFF" w:val="clear"/>
            <w:vAlign w:val="center"/>
          </w:tcPr>
          <w:p>
            <w:pPr>
              <w:pStyle w:val="TableContents"/>
              <w:bidi w:val="0"/>
              <w:spacing w:before="0" w:after="283"/>
              <w:jc w:val="left"/>
              <w:rPr/>
            </w:pPr>
            <w:r>
              <w:rPr/>
              <w:t> </w:t>
            </w:r>
          </w:p>
        </w:tc>
      </w:tr>
      <w:tr>
        <w:trPr/>
        <w:tc>
          <w:tcPr>
            <w:tcW w:w="45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Income (loss) from operations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2,346,610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(2,876,230</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(529,620</w:t>
            </w:r>
          </w:p>
        </w:tc>
        <w:tc>
          <w:tcPr>
            <w:tcW w:w="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52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Other income (expense)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eastAsia="Times New Roman;Times;Serif"/>
                <w:sz w:val="20"/>
              </w:rPr>
            </w:pPr>
            <w:r>
              <w:rPr>
                <w:rFonts w:eastAsia="Times New Roman;Times;Serif"/>
                <w:sz w:val="20"/>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eastAsia="Times New Roman;Times;Serif"/>
                <w:sz w:val="20"/>
              </w:rPr>
            </w:pPr>
            <w:r>
              <w:rPr>
                <w:rFonts w:eastAsia="Times New Roman;Times;Serif"/>
                <w:sz w:val="20"/>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eastAsia="Times New Roman;Times;Serif"/>
                <w:sz w:val="20"/>
              </w:rPr>
            </w:pPr>
            <w:r>
              <w:rPr>
                <w:rFonts w:eastAsia="Times New Roman;Times;Serif"/>
                <w:sz w:val="20"/>
              </w:rPr>
              <w:t>　</w:t>
            </w:r>
          </w:p>
        </w:tc>
        <w:tc>
          <w:tcPr>
            <w:tcW w:w="370" w:type="dxa"/>
            <w:tcBorders/>
            <w:shd w:fill="CCEEFF" w:val="clear"/>
            <w:vAlign w:val="center"/>
          </w:tcPr>
          <w:p>
            <w:pPr>
              <w:pStyle w:val="TableContents"/>
              <w:bidi w:val="0"/>
              <w:spacing w:before="0" w:after="283"/>
              <w:ind w:left="0" w:right="0" w:firstLine="200"/>
              <w:jc w:val="left"/>
              <w:rPr/>
            </w:pPr>
            <w:r>
              <w:rPr/>
              <w:t> </w:t>
            </w:r>
          </w:p>
        </w:tc>
      </w:tr>
      <w:tr>
        <w:trPr/>
        <w:tc>
          <w:tcPr>
            <w:tcW w:w="45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Interest (expense) income, net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(134,517</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83,589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(50,928</w:t>
            </w:r>
          </w:p>
        </w:tc>
        <w:tc>
          <w:tcPr>
            <w:tcW w:w="370" w:type="dxa"/>
            <w:tcBorders/>
            <w:vAlign w:val="center"/>
          </w:tcPr>
          <w:p>
            <w:pPr>
              <w:pStyle w:val="TableContents"/>
              <w:bidi w:val="0"/>
              <w:spacing w:before="0" w:after="283"/>
              <w:ind w:left="0" w:right="0" w:firstLine="200"/>
              <w:jc w:val="left"/>
              <w:rPr>
                <w:rFonts w:ascii="Times New Roman;Times;Serif" w:hAnsi="Times New Roman;Times;Serif"/>
              </w:rPr>
            </w:pPr>
            <w:r>
              <w:rPr>
                <w:rFonts w:ascii="Times New Roman;Times;Serif" w:hAnsi="Times New Roman;Times;Serif"/>
              </w:rPr>
              <w:t>)</w:t>
            </w:r>
          </w:p>
        </w:tc>
      </w:tr>
      <w:tr>
        <w:trPr/>
        <w:tc>
          <w:tcPr>
            <w:tcW w:w="452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Other income, net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9,445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678,047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687,492</w:t>
            </w:r>
          </w:p>
        </w:tc>
        <w:tc>
          <w:tcPr>
            <w:tcW w:w="370" w:type="dxa"/>
            <w:tcBorders/>
            <w:shd w:fill="CCEEFF" w:val="clear"/>
            <w:vAlign w:val="center"/>
          </w:tcPr>
          <w:p>
            <w:pPr>
              <w:pStyle w:val="TableContents"/>
              <w:bidi w:val="0"/>
              <w:spacing w:before="0" w:after="283"/>
              <w:ind w:left="0" w:right="0" w:firstLine="200"/>
              <w:jc w:val="left"/>
              <w:rPr/>
            </w:pPr>
            <w:r>
              <w:rPr/>
              <w:t> </w:t>
            </w:r>
          </w:p>
        </w:tc>
      </w:tr>
      <w:tr>
        <w:trPr/>
        <w:tc>
          <w:tcPr>
            <w:tcW w:w="45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Interest income from long term debt investment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723,945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723,945</w:t>
            </w:r>
          </w:p>
        </w:tc>
        <w:tc>
          <w:tcPr>
            <w:tcW w:w="370" w:type="dxa"/>
            <w:tcBorders/>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Profit (loss) before income tax expense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2,221,538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(1,390,649</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830,889</w:t>
            </w:r>
          </w:p>
        </w:tc>
        <w:tc>
          <w:tcPr>
            <w:tcW w:w="370" w:type="dxa"/>
            <w:tcBorders/>
            <w:shd w:fill="CCEEFF" w:val="clear"/>
            <w:vAlign w:val="center"/>
          </w:tcPr>
          <w:p>
            <w:pPr>
              <w:pStyle w:val="TableContents"/>
              <w:bidi w:val="0"/>
              <w:spacing w:before="0" w:after="283"/>
              <w:ind w:left="0" w:right="0" w:firstLine="200"/>
              <w:jc w:val="left"/>
              <w:rPr/>
            </w:pPr>
            <w:r>
              <w:rPr/>
              <w:t> </w:t>
            </w:r>
          </w:p>
        </w:tc>
      </w:tr>
      <w:tr>
        <w:trPr/>
        <w:tc>
          <w:tcPr>
            <w:tcW w:w="45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Income tax expense</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(74,604</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(74,604</w:t>
            </w:r>
          </w:p>
        </w:tc>
        <w:tc>
          <w:tcPr>
            <w:tcW w:w="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52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income (loss)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2,146,934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(1,390,649</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756,285</w:t>
            </w:r>
          </w:p>
        </w:tc>
        <w:tc>
          <w:tcPr>
            <w:tcW w:w="370" w:type="dxa"/>
            <w:tcBorders/>
            <w:shd w:fill="CCEEFF" w:val="clear"/>
            <w:vAlign w:val="center"/>
          </w:tcPr>
          <w:p>
            <w:pPr>
              <w:pStyle w:val="TableContents"/>
              <w:bidi w:val="0"/>
              <w:spacing w:before="0" w:after="283"/>
              <w:jc w:val="left"/>
              <w:rPr/>
            </w:pPr>
            <w:r>
              <w:rPr/>
              <w:t> </w:t>
            </w:r>
          </w:p>
        </w:tc>
      </w:tr>
      <w:tr>
        <w:trPr/>
        <w:tc>
          <w:tcPr>
            <w:tcW w:w="45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Depreciation</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465,689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358,180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823,869</w:t>
            </w:r>
          </w:p>
        </w:tc>
        <w:tc>
          <w:tcPr>
            <w:tcW w:w="370" w:type="dxa"/>
            <w:tcBorders/>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Capital expenditures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578,126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5,187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583,313</w:t>
            </w:r>
          </w:p>
        </w:tc>
        <w:tc>
          <w:tcPr>
            <w:tcW w:w="3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230" w:type="dxa"/>
        <w:jc w:val="left"/>
        <w:tblInd w:w="0" w:type="dxa"/>
        <w:tblLayout w:type="fixed"/>
        <w:tblCellMar>
          <w:top w:w="0" w:type="dxa"/>
          <w:left w:w="0" w:type="dxa"/>
          <w:bottom w:w="0" w:type="dxa"/>
          <w:right w:w="0" w:type="dxa"/>
        </w:tblCellMar>
      </w:tblPr>
      <w:tblGrid>
        <w:gridCol w:w="4520"/>
        <w:gridCol w:w="90"/>
        <w:gridCol w:w="170"/>
        <w:gridCol w:w="1130"/>
        <w:gridCol w:w="125"/>
        <w:gridCol w:w="90"/>
        <w:gridCol w:w="170"/>
        <w:gridCol w:w="1085"/>
        <w:gridCol w:w="125"/>
        <w:gridCol w:w="90"/>
        <w:gridCol w:w="170"/>
        <w:gridCol w:w="1130"/>
        <w:gridCol w:w="335"/>
      </w:tblGrid>
      <w:tr>
        <w:trPr/>
        <w:tc>
          <w:tcPr>
            <w:tcW w:w="45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4285"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For the Year Ended </w:t>
              <w:br/>
              <w:t>December 31, 2023</w:t>
            </w:r>
          </w:p>
        </w:tc>
        <w:tc>
          <w:tcPr>
            <w:tcW w:w="335" w:type="dxa"/>
            <w:tcBorders/>
            <w:vAlign w:val="center"/>
          </w:tcPr>
          <w:p>
            <w:pPr>
              <w:pStyle w:val="TableContents"/>
              <w:bidi w:val="0"/>
              <w:spacing w:before="0" w:after="283"/>
              <w:jc w:val="center"/>
              <w:rPr/>
            </w:pPr>
            <w:r>
              <w:rPr/>
              <w:t> </w:t>
            </w:r>
          </w:p>
        </w:tc>
      </w:tr>
      <w:tr>
        <w:trPr/>
        <w:tc>
          <w:tcPr>
            <w:tcW w:w="45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China</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United</w:t>
              <w:br/>
              <w:t>States and</w:t>
              <w:br/>
              <w:t>others</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335" w:type="dxa"/>
            <w:tcBorders/>
            <w:vAlign w:val="center"/>
          </w:tcPr>
          <w:p>
            <w:pPr>
              <w:pStyle w:val="TableContents"/>
              <w:bidi w:val="0"/>
              <w:spacing w:before="0" w:after="283"/>
              <w:jc w:val="center"/>
              <w:rPr/>
            </w:pPr>
            <w:r>
              <w:rPr/>
              <w:t> </w:t>
            </w:r>
          </w:p>
        </w:tc>
      </w:tr>
      <w:tr>
        <w:trPr/>
        <w:tc>
          <w:tcPr>
            <w:tcW w:w="4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14,314,156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2,938,506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17,252,662</w:t>
            </w:r>
          </w:p>
        </w:tc>
        <w:tc>
          <w:tcPr>
            <w:tcW w:w="335" w:type="dxa"/>
            <w:tcBorders/>
            <w:shd w:fill="CCEEFF" w:val="clear"/>
            <w:vAlign w:val="center"/>
          </w:tcPr>
          <w:p>
            <w:pPr>
              <w:pStyle w:val="TableContents"/>
              <w:bidi w:val="0"/>
              <w:spacing w:before="0" w:after="283"/>
              <w:jc w:val="left"/>
              <w:rPr/>
            </w:pPr>
            <w:r>
              <w:rPr/>
              <w:t> </w:t>
            </w:r>
          </w:p>
        </w:tc>
      </w:tr>
      <w:tr>
        <w:trPr/>
        <w:tc>
          <w:tcPr>
            <w:tcW w:w="45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335" w:type="dxa"/>
            <w:tcBorders/>
            <w:vAlign w:val="center"/>
          </w:tcPr>
          <w:p>
            <w:pPr>
              <w:pStyle w:val="TableContents"/>
              <w:bidi w:val="0"/>
              <w:spacing w:before="0" w:after="283"/>
              <w:ind w:left="0" w:right="0" w:firstLine="200"/>
              <w:jc w:val="left"/>
              <w:rPr/>
            </w:pPr>
            <w:r>
              <w:rPr/>
              <w:t> </w:t>
            </w:r>
          </w:p>
        </w:tc>
      </w:tr>
      <w:tr>
        <w:trPr/>
        <w:tc>
          <w:tcPr>
            <w:tcW w:w="4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7,196,311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1,909,026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9,105,337</w:t>
            </w:r>
          </w:p>
        </w:tc>
        <w:tc>
          <w:tcPr>
            <w:tcW w:w="335" w:type="dxa"/>
            <w:tcBorders/>
            <w:shd w:fill="CCEEFF" w:val="clear"/>
            <w:vAlign w:val="center"/>
          </w:tcPr>
          <w:p>
            <w:pPr>
              <w:pStyle w:val="TableContents"/>
              <w:bidi w:val="0"/>
              <w:spacing w:before="0" w:after="283"/>
              <w:ind w:left="0" w:right="0" w:firstLine="200"/>
              <w:jc w:val="left"/>
              <w:rPr/>
            </w:pPr>
            <w:r>
              <w:rPr/>
              <w:t> </w:t>
            </w:r>
          </w:p>
        </w:tc>
      </w:tr>
      <w:tr>
        <w:trPr/>
        <w:tc>
          <w:tcPr>
            <w:tcW w:w="45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Selling expenses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4,089,650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793,308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4,882,958</w:t>
            </w:r>
          </w:p>
        </w:tc>
        <w:tc>
          <w:tcPr>
            <w:tcW w:w="335" w:type="dxa"/>
            <w:tcBorders/>
            <w:vAlign w:val="center"/>
          </w:tcPr>
          <w:p>
            <w:pPr>
              <w:pStyle w:val="TableContents"/>
              <w:bidi w:val="0"/>
              <w:spacing w:before="0" w:after="283"/>
              <w:ind w:left="0" w:right="0" w:firstLine="200"/>
              <w:jc w:val="left"/>
              <w:rPr/>
            </w:pPr>
            <w:r>
              <w:rPr/>
              <w:t> </w:t>
            </w:r>
          </w:p>
        </w:tc>
      </w:tr>
      <w:tr>
        <w:trPr/>
        <w:tc>
          <w:tcPr>
            <w:tcW w:w="4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 expenses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1,066,993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2,807,875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3,874,868</w:t>
            </w:r>
          </w:p>
        </w:tc>
        <w:tc>
          <w:tcPr>
            <w:tcW w:w="335" w:type="dxa"/>
            <w:tcBorders/>
            <w:shd w:fill="CCEEFF" w:val="clear"/>
            <w:vAlign w:val="center"/>
          </w:tcPr>
          <w:p>
            <w:pPr>
              <w:pStyle w:val="TableContents"/>
              <w:bidi w:val="0"/>
              <w:spacing w:before="0" w:after="283"/>
              <w:jc w:val="left"/>
              <w:rPr/>
            </w:pPr>
            <w:r>
              <w:rPr/>
              <w:t> </w:t>
            </w:r>
          </w:p>
        </w:tc>
      </w:tr>
      <w:tr>
        <w:trPr/>
        <w:tc>
          <w:tcPr>
            <w:tcW w:w="45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(loss) from operations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1,961,202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(2,571,703</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(610,501</w:t>
            </w:r>
          </w:p>
        </w:tc>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income (expense)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eastAsia="Times New Roman;Times;Serif"/>
                <w:sz w:val="20"/>
              </w:rPr>
            </w:pPr>
            <w:r>
              <w:rPr>
                <w:rFonts w:eastAsia="Times New Roman;Times;Serif"/>
                <w:sz w:val="20"/>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eastAsia="Times New Roman;Times;Serif"/>
                <w:sz w:val="20"/>
              </w:rPr>
            </w:pPr>
            <w:r>
              <w:rPr>
                <w:rFonts w:eastAsia="Times New Roman;Times;Serif"/>
                <w:sz w:val="20"/>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eastAsia="Times New Roman;Times;Serif"/>
                <w:sz w:val="20"/>
              </w:rPr>
            </w:pPr>
            <w:r>
              <w:rPr>
                <w:rFonts w:eastAsia="Times New Roman;Times;Serif"/>
                <w:sz w:val="20"/>
              </w:rPr>
              <w:t>　</w:t>
            </w:r>
          </w:p>
        </w:tc>
        <w:tc>
          <w:tcPr>
            <w:tcW w:w="335" w:type="dxa"/>
            <w:tcBorders/>
            <w:shd w:fill="CCEEFF" w:val="clear"/>
            <w:vAlign w:val="center"/>
          </w:tcPr>
          <w:p>
            <w:pPr>
              <w:pStyle w:val="TableContents"/>
              <w:bidi w:val="0"/>
              <w:spacing w:before="0" w:after="283"/>
              <w:ind w:left="0" w:right="0" w:firstLine="200"/>
              <w:jc w:val="left"/>
              <w:rPr/>
            </w:pPr>
            <w:r>
              <w:rPr/>
              <w:t> </w:t>
            </w:r>
          </w:p>
        </w:tc>
      </w:tr>
      <w:tr>
        <w:trPr/>
        <w:tc>
          <w:tcPr>
            <w:tcW w:w="45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 income, net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(31,395</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66,900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35,505</w:t>
            </w:r>
          </w:p>
        </w:tc>
        <w:tc>
          <w:tcPr>
            <w:tcW w:w="335" w:type="dxa"/>
            <w:tcBorders/>
            <w:vAlign w:val="center"/>
          </w:tcPr>
          <w:p>
            <w:pPr>
              <w:pStyle w:val="TableContents"/>
              <w:bidi w:val="0"/>
              <w:spacing w:before="0" w:after="283"/>
              <w:ind w:left="0" w:right="0" w:firstLine="200"/>
              <w:jc w:val="left"/>
              <w:rPr/>
            </w:pPr>
            <w:r>
              <w:rPr/>
              <w:t> </w:t>
            </w:r>
          </w:p>
        </w:tc>
      </w:tr>
      <w:tr>
        <w:trPr/>
        <w:tc>
          <w:tcPr>
            <w:tcW w:w="4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(expense) income, net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(93,636</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287,061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193,425</w:t>
            </w:r>
          </w:p>
        </w:tc>
        <w:tc>
          <w:tcPr>
            <w:tcW w:w="335" w:type="dxa"/>
            <w:tcBorders/>
            <w:shd w:fill="CCEEFF" w:val="clear"/>
            <w:vAlign w:val="center"/>
          </w:tcPr>
          <w:p>
            <w:pPr>
              <w:pStyle w:val="TableContents"/>
              <w:bidi w:val="0"/>
              <w:spacing w:before="0" w:after="283"/>
              <w:ind w:left="0" w:right="0" w:firstLine="200"/>
              <w:jc w:val="left"/>
              <w:rPr/>
            </w:pPr>
            <w:r>
              <w:rPr/>
              <w:t> </w:t>
            </w:r>
          </w:p>
        </w:tc>
      </w:tr>
      <w:tr>
        <w:trPr/>
        <w:tc>
          <w:tcPr>
            <w:tcW w:w="45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income from long term debt investment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534,575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534,575</w:t>
            </w:r>
          </w:p>
        </w:tc>
        <w:tc>
          <w:tcPr>
            <w:tcW w:w="335" w:type="dxa"/>
            <w:tcBorders/>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Profit (loss) before income tax expense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1,836,171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(1,683,167</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153,004</w:t>
            </w:r>
          </w:p>
        </w:tc>
        <w:tc>
          <w:tcPr>
            <w:tcW w:w="335" w:type="dxa"/>
            <w:tcBorders/>
            <w:shd w:fill="CCEEFF" w:val="clear"/>
            <w:vAlign w:val="center"/>
          </w:tcPr>
          <w:p>
            <w:pPr>
              <w:pStyle w:val="TableContents"/>
              <w:bidi w:val="0"/>
              <w:spacing w:before="0" w:after="283"/>
              <w:ind w:left="0" w:right="0" w:firstLine="200"/>
              <w:jc w:val="left"/>
              <w:rPr/>
            </w:pPr>
            <w:r>
              <w:rPr/>
              <w:t> </w:t>
            </w:r>
          </w:p>
        </w:tc>
      </w:tr>
      <w:tr>
        <w:trPr/>
        <w:tc>
          <w:tcPr>
            <w:tcW w:w="45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 expense</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(119,416</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(119,416</w:t>
            </w:r>
          </w:p>
        </w:tc>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 (loss)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1,716,755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(1,683,167</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33,588</w:t>
            </w:r>
          </w:p>
        </w:tc>
        <w:tc>
          <w:tcPr>
            <w:tcW w:w="335" w:type="dxa"/>
            <w:tcBorders/>
            <w:shd w:fill="CCEEFF" w:val="clear"/>
            <w:vAlign w:val="center"/>
          </w:tcPr>
          <w:p>
            <w:pPr>
              <w:pStyle w:val="TableContents"/>
              <w:bidi w:val="0"/>
              <w:spacing w:before="0" w:after="283"/>
              <w:jc w:val="left"/>
              <w:rPr/>
            </w:pPr>
            <w:r>
              <w:rPr/>
              <w:t> </w:t>
            </w:r>
          </w:p>
        </w:tc>
      </w:tr>
      <w:tr>
        <w:trPr/>
        <w:tc>
          <w:tcPr>
            <w:tcW w:w="45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455,144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376,676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831,820</w:t>
            </w:r>
          </w:p>
        </w:tc>
        <w:tc>
          <w:tcPr>
            <w:tcW w:w="335" w:type="dxa"/>
            <w:tcBorders/>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Capital expenditures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686,885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1,427,079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2,113,964</w:t>
            </w:r>
          </w:p>
        </w:tc>
        <w:tc>
          <w:tcPr>
            <w:tcW w:w="3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815" w:type="dxa"/>
        <w:jc w:val="left"/>
        <w:tblInd w:w="0" w:type="dxa"/>
        <w:tblLayout w:type="fixed"/>
        <w:tblCellMar>
          <w:top w:w="0" w:type="dxa"/>
          <w:left w:w="0" w:type="dxa"/>
          <w:bottom w:w="0" w:type="dxa"/>
          <w:right w:w="0" w:type="dxa"/>
        </w:tblCellMar>
      </w:tblPr>
      <w:tblGrid>
        <w:gridCol w:w="1520"/>
        <w:gridCol w:w="90"/>
        <w:gridCol w:w="188"/>
        <w:gridCol w:w="1257"/>
        <w:gridCol w:w="90"/>
        <w:gridCol w:w="90"/>
        <w:gridCol w:w="188"/>
        <w:gridCol w:w="1257"/>
        <w:gridCol w:w="135"/>
      </w:tblGrid>
      <w:tr>
        <w:trPr/>
        <w:tc>
          <w:tcPr>
            <w:tcW w:w="15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w:t>
              <w:br/>
              <w:t>2025</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w:t>
              <w:br/>
              <w:t>2024</w:t>
            </w:r>
          </w:p>
        </w:tc>
        <w:tc>
          <w:tcPr>
            <w:tcW w:w="135" w:type="dxa"/>
            <w:tcBorders/>
            <w:vAlign w:val="center"/>
          </w:tcPr>
          <w:p>
            <w:pPr>
              <w:pStyle w:val="TableContents"/>
              <w:bidi w:val="0"/>
              <w:spacing w:before="0" w:after="283"/>
              <w:jc w:val="center"/>
              <w:rPr/>
            </w:pPr>
            <w:r>
              <w:rPr/>
              <w:t> </w:t>
            </w:r>
          </w:p>
        </w:tc>
      </w:tr>
      <w:tr>
        <w:trPr/>
        <w:tc>
          <w:tcPr>
            <w:tcW w:w="15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assets:</w:t>
            </w:r>
          </w:p>
        </w:tc>
        <w:tc>
          <w:tcPr>
            <w:tcW w:w="9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China</w:t>
            </w:r>
          </w:p>
        </w:tc>
        <w:tc>
          <w:tcPr>
            <w:tcW w:w="9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5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38,750,490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5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22,487,303</w:t>
            </w:r>
          </w:p>
        </w:tc>
        <w:tc>
          <w:tcPr>
            <w:tcW w:w="135" w:type="dxa"/>
            <w:tcBorders/>
            <w:shd w:fill="CCEEFF" w:val="clear"/>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w:t>
            </w:r>
          </w:p>
        </w:tc>
        <w:tc>
          <w:tcPr>
            <w:tcW w:w="90" w:type="dxa"/>
            <w:tcBorders/>
            <w:vAlign w:val="center"/>
          </w:tcPr>
          <w:p>
            <w:pPr>
              <w:pStyle w:val="TableContents"/>
              <w:bidi w:val="0"/>
              <w:spacing w:before="0" w:after="283"/>
              <w:jc w:val="left"/>
              <w:rPr/>
            </w:pPr>
            <w:r>
              <w:rPr/>
              <w:t> </w:t>
            </w:r>
          </w:p>
        </w:tc>
        <w:tc>
          <w:tcPr>
            <w:tcW w:w="188"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7"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43,235,301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8"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7"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19,288,531</w:t>
            </w:r>
          </w:p>
        </w:tc>
        <w:tc>
          <w:tcPr>
            <w:tcW w:w="135" w:type="dxa"/>
            <w:tcBorders/>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assets</w:t>
            </w:r>
          </w:p>
        </w:tc>
        <w:tc>
          <w:tcPr>
            <w:tcW w:w="90" w:type="dxa"/>
            <w:tcBorders/>
            <w:shd w:fill="CCEEFF" w:val="clear"/>
            <w:vAlign w:val="center"/>
          </w:tcPr>
          <w:p>
            <w:pPr>
              <w:pStyle w:val="TableContents"/>
              <w:bidi w:val="0"/>
              <w:spacing w:before="0" w:after="283"/>
              <w:jc w:val="left"/>
              <w:rPr/>
            </w:pPr>
            <w:r>
              <w:rPr/>
              <w:t> </w:t>
            </w:r>
          </w:p>
        </w:tc>
        <w:tc>
          <w:tcPr>
            <w:tcW w:w="188"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5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81,985,791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8"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5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41,775,834</w:t>
            </w:r>
          </w:p>
        </w:tc>
        <w:tc>
          <w:tcPr>
            <w:tcW w:w="135" w:type="dxa"/>
            <w:tcBorders/>
            <w:shd w:fill="CCEEFF" w:val="clear"/>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liabilities:</w:t>
            </w:r>
          </w:p>
        </w:tc>
        <w:tc>
          <w:tcPr>
            <w:tcW w:w="9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China</w:t>
            </w:r>
          </w:p>
        </w:tc>
        <w:tc>
          <w:tcPr>
            <w:tcW w:w="9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5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22,771,550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57"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17,366,824</w:t>
            </w:r>
          </w:p>
        </w:tc>
        <w:tc>
          <w:tcPr>
            <w:tcW w:w="135" w:type="dxa"/>
            <w:tcBorders/>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w:t>
            </w:r>
          </w:p>
        </w:tc>
        <w:tc>
          <w:tcPr>
            <w:tcW w:w="9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3,003,309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5,983,564</w:t>
            </w:r>
          </w:p>
        </w:tc>
        <w:tc>
          <w:tcPr>
            <w:tcW w:w="135" w:type="dxa"/>
            <w:tcBorders/>
            <w:shd w:fill="CCEEFF" w:val="clear"/>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liabilities</w:t>
            </w:r>
          </w:p>
        </w:tc>
        <w:tc>
          <w:tcPr>
            <w:tcW w:w="90" w:type="dxa"/>
            <w:tcBorders/>
            <w:vAlign w:val="center"/>
          </w:tcPr>
          <w:p>
            <w:pPr>
              <w:pStyle w:val="TableContents"/>
              <w:bidi w:val="0"/>
              <w:spacing w:before="0" w:after="283"/>
              <w:jc w:val="left"/>
              <w:rPr/>
            </w:pPr>
            <w:r>
              <w:rPr/>
              <w:t> </w:t>
            </w:r>
          </w:p>
        </w:tc>
        <w:tc>
          <w:tcPr>
            <w:tcW w:w="188"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57"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25,774,859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8"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57"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23,350,388</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17 —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6, 2026, the Company entered into a sales agreement (the “Sales Agreement”), with AC Sunshine Securities LLC (the “Sales Agent”) relating to the offer and sale of our Class A ordinary shares, of par value $0.08 per share. In accordance with the Sales Agreement, the Company may offer Class A Ordinary Shares, from time to time through or to the Sales Agent, acting as a sales agent or principal, having an aggregate offering price of up to $219,375,000. The proceeds from the sales of our Class A ordinary shares will make cash available for use in its operations as working capital, if necessary. As of the date of this report, no Class A Ordinary Shares were issued under the Sales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23, 2026, Xinjiang United Family entered into a loan agreement with Huaxia Bank to borrow RMB2.5 million ($357,370) as working capital for one year, with a maturity date of March 23, 2027. The loan bears a fixed interest rate of 3.0% per annum. The loan was guaranteed by Ms. Baolin Wang, Mr. Gang Li and Urumqi Meihe Cancer Rehabilitation Hospital Co., Ltd, a related party that is controlled by Mr. Gang Li’s family member.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the subsequent events through April 20, 2026, which is the date of the issuance of these consolidated financial statements, and concluded that there are no additional subsequent events except disclosed above that would have required adjustment or disclosure in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F-42</w:t>
      </w:r>
    </w:p>
    <w:p>
      <w:pPr>
        <w:pStyle w:val="TextBody"/>
        <w:bidi w:val="0"/>
        <w:ind w:left="0" w:right="0" w:hanging="0"/>
        <w:jc w:val="right"/>
        <w:rPr>
          <w:b/>
        </w:rPr>
      </w:pPr>
      <w:bookmarkStart w:id="44" w:name="ea028662601ex2-2.htm"/>
      <w:bookmarkStart w:id="45" w:name="ksea028662601ex22"/>
      <w:bookmarkEnd w:id="44"/>
      <w:bookmarkEnd w:id="45"/>
      <w:r>
        <w:rPr>
          <w:b/>
        </w:rPr>
        <w:t>Exhibit 2.2</w:t>
      </w:r>
      <w:r>
        <w:br w:type="page"/>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Rights of Each Class of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under Section 12 of the Securities Exchange Act of 1934, as Amended (the “Exchange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ordinary shares, par value $0.0001 per share (“Class A Ordinary Shares”), of Chanson International Holding (“we,” “our,” “our company,” or “us”) are listed and traded on the Nasdaq Capital Market, and in connection with this listing (but not for trading), its Class A Ordinary Shares are registered under Section 12(b) of the Exchange Act. This exhibit contains a description of the rights of the holders of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Class A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material provisions of our currently effective amended and restated memorandum of association and articles of association (the “Memorandum and Articles of Association”), as well as the Companies Act (Revised) of the Cayman Islands (the “Cayman Companies Act”) insofar as they relate to the material terms of our Class A Ordinary Shares. Notwithstanding this, because it is a summary, it may not contain all the information that you may otherwise deem important. For more complete information, you should read the entire Memorandum and Articles of Association, which have been filed with the U.S. Securities and Exchange Commission as Exhibit 3.1 of the report of foreign private issuer on Form 6-K Commission on March 16,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Type and Class of Securities (Item 9.A.5 of Form 20-F)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A Ordinary Share has a par value of $0.0001 each. The number of Class A ordinary shares that have been issued as of the last day of the financial year ended December 31, 2025 is provided on the cover of the annual report on Form 20-F filed on April 20, 2026. Our Class A Ordinary Shares may be held in either certificated or uncertificated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Preemptive Rights (Item 9.A.3 of Form 20-F)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are not subject to any pre-emptive or similar rights under the Cayman Companies Act or pursuant to the Memorandum and Articles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Limitations or Qualifications (Item 9.A.6 of Form 20-F)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dual-class voting structure such that our ordinary shares consist of Class A Ordinary Shares and Class B ordinary shares, par value $0.0001 per share (“Class B Ordinary Shares”). In respect of matters requiring a shareholder vote, each holder of Class A Ordinary Shares will be entitled to one vote per one Class A Ordinary Share and each holder of Class B Ordinary Shares will be entitled to 50 votes per one Class B Ordinary Share. The Class A Ordinary Shares are not convertible into shares of any other class. The Class B Ordinary Shares are convertible into Class A Ordinary Shares at any time after issuance at the option of the holder on a one-to-one basis. Due to the super voting power of holders of Class B Ordinary Shares, the voting power of the Class A Ordinary Shares may be materially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Rights of Other Types of Securities (Item 9.A.7 of Form 20-F)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Rights of Class A Ordinary Shares (Item 10.B.3 of Form 20-F)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Classes of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share capital is US$412,500 divided into 4,110,000,000 Class A ordinary shares of US$0.0001 par value each and 15,000,000 Class B ordinary shares of US$0.0001 par value each. Holders of Class A Ordinary Shares and Class B Ordinary Shares have the same rights except for voting and conversion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Cayman Companies Act and any rights attaching to any class or classes of shares under and in accordance with the Memorandum and Articles of Association: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5"/>
        <w:gridCol w:w="9902"/>
      </w:tblGrid>
      <w:tr>
        <w:trPr/>
        <w:tc>
          <w:tcPr>
            <w:tcW w:w="3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(a)</w:t>
            </w:r>
          </w:p>
        </w:tc>
        <w:tc>
          <w:tcPr>
            <w:tcW w:w="9902" w:type="dxa"/>
            <w:tcBorders/>
            <w:vAlign w:val="center"/>
          </w:tcPr>
          <w:p>
            <w:pPr>
              <w:pStyle w:val="TableContents"/>
              <w:bidi w:val="0"/>
              <w:spacing w:before="0" w:after="283"/>
              <w:jc w:val="both"/>
              <w:rPr/>
            </w:pPr>
            <w:r>
              <w:rPr/>
              <w:t>the directors may declare dividends or distributions out of our funds which are lawfully available for that purpose; and</w:t>
            </w:r>
          </w:p>
        </w:tc>
      </w:tr>
    </w:tbl>
    <w:p>
      <w:pPr>
        <w:pStyle w:val="TextBody"/>
        <w:bidi w:val="0"/>
        <w:spacing w:before="0" w:after="0"/>
        <w:ind w:left="81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8"/>
        <w:gridCol w:w="9899"/>
      </w:tblGrid>
      <w:tr>
        <w:trPr/>
        <w:tc>
          <w:tcPr>
            <w:tcW w:w="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pPr>
            <w:r>
              <w:rPr/>
              <w:t>(b)</w:t>
            </w:r>
          </w:p>
        </w:tc>
        <w:tc>
          <w:tcPr>
            <w:tcW w:w="9899" w:type="dxa"/>
            <w:tcBorders/>
            <w:vAlign w:val="center"/>
          </w:tcPr>
          <w:p>
            <w:pPr>
              <w:pStyle w:val="TableContents"/>
              <w:bidi w:val="0"/>
              <w:spacing w:before="0" w:after="283"/>
              <w:jc w:val="both"/>
              <w:rPr/>
            </w:pPr>
            <w:r>
              <w:rPr/>
              <w:t>our shareholders may, by ordinary resolution, declare dividends but no such dividend shall exceed the amount recommended by the directors.</w:t>
            </w:r>
          </w:p>
        </w:tc>
      </w:tr>
    </w:tbl>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requirements of the Cayman Companies Act regarding the application of a company’s share premium account and with the sanction of an ordinary resolution, dividends may also be declared and paid out of any share premium account. The directors when paying dividends to shareholders may make such payment either in cash or in specie.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provided by the rights attached to a share, no dividend shall bear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poll, every shareholder who is present in person and every person representing a shareholder by proxy shall have one vote for each Class A Ordinary Share and 50 votes for each Class B Ordinary Share of which he or the person represented by proxy is the holder. In addition, all shareholders holding shares of a particular class are entitled to vote at a meeting of the holders of that class of shares. Votes may be given either personally or by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Conversion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Ordinary Shares are not convertible. Class B Ordinary Shares are convertible, at the option of the holder thereof, into Class A Ordinary Shares on a one-to-one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Calls on shares and forfeiture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allotment, the directors may make calls on the shareholders in respect of any monies unpaid on their shares including any premium and each shareholder shall (subject to receiving at least 14 clear days’ notice specifying when and where payment is to be made), pay to us the amount called on his shares. Shareholders registered as the joint holders of a share shall be jointly and severally liable to pay all calls in respect of the share. If a call remains unpaid after it has become due and payable the person from whom it is due and payable shall pay interest on the amount unpaid from the day it became due and payable until it is paid at the rate fixed by the terms of allotment of the share or in the notice of the call or if no rate is fixed, at the rate of ten percent per annum. The directors may waive payment of the interest wholly or in 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first and paramount lien on all shares (whether fully paid up or not) registered in the name of a shareholder (whether solely or jointly with others). The lien is for all monies payable to us by the shareholder or the shareholder’s estate:</w:t>
      </w:r>
    </w:p>
    <w:p>
      <w:pPr>
        <w:pStyle w:val="TextBody"/>
        <w:bidi w:val="0"/>
        <w:spacing w:before="0" w:after="0"/>
        <w:ind w:left="0" w:right="0" w:hanging="0"/>
        <w:jc w:val="both"/>
        <w:rPr>
          <w:caps w:val="false"/>
          <w:smallCaps w:val="false"/>
        </w:rPr>
      </w:pPr>
      <w:r>
        <w:rPr>
          <w:caps w:val="false"/>
          <w:smallCaps w:val="false"/>
        </w:rPr>
        <w:t> </w:t>
      </w:r>
    </w:p>
    <w:tbl>
      <w:tblPr>
        <w:tblW w:w="9603" w:type="dxa"/>
        <w:jc w:val="left"/>
        <w:tblInd w:w="0" w:type="dxa"/>
        <w:tblLayout w:type="fixed"/>
        <w:tblCellMar>
          <w:top w:w="0" w:type="dxa"/>
          <w:left w:w="0" w:type="dxa"/>
          <w:bottom w:w="0" w:type="dxa"/>
          <w:right w:w="0" w:type="dxa"/>
        </w:tblCellMar>
      </w:tblPr>
      <w:tblGrid>
        <w:gridCol w:w="38"/>
        <w:gridCol w:w="275"/>
        <w:gridCol w:w="929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9290" w:type="dxa"/>
            <w:tcBorders/>
            <w:vAlign w:val="center"/>
          </w:tcPr>
          <w:p>
            <w:pPr>
              <w:pStyle w:val="TableContents"/>
              <w:bidi w:val="0"/>
              <w:spacing w:before="0" w:after="283"/>
              <w:jc w:val="both"/>
              <w:rPr/>
            </w:pPr>
            <w:r>
              <w:rPr/>
              <w:t>either alone or jointly with any other person, whether or not that other person is a shareholder; and</w:t>
            </w:r>
          </w:p>
        </w:tc>
      </w:tr>
    </w:tbl>
    <w:p>
      <w:pPr>
        <w:pStyle w:val="TextBody"/>
        <w:bidi w:val="0"/>
        <w:spacing w:before="0" w:after="0"/>
        <w:ind w:left="0" w:right="0" w:hanging="0"/>
        <w:jc w:val="left"/>
        <w:rPr>
          <w:caps w:val="false"/>
          <w:smallCaps w:val="false"/>
        </w:rPr>
      </w:pPr>
      <w:r>
        <w:rPr>
          <w:caps w:val="false"/>
          <w:smallCaps w:val="false"/>
        </w:rPr>
        <w:t> </w:t>
      </w:r>
    </w:p>
    <w:tbl>
      <w:tblPr>
        <w:tblW w:w="5148" w:type="dxa"/>
        <w:jc w:val="left"/>
        <w:tblInd w:w="0" w:type="dxa"/>
        <w:tblLayout w:type="fixed"/>
        <w:tblCellMar>
          <w:top w:w="0" w:type="dxa"/>
          <w:left w:w="0" w:type="dxa"/>
          <w:bottom w:w="0" w:type="dxa"/>
          <w:right w:w="0" w:type="dxa"/>
        </w:tblCellMar>
      </w:tblPr>
      <w:tblGrid>
        <w:gridCol w:w="38"/>
        <w:gridCol w:w="290"/>
        <w:gridCol w:w="482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4820" w:type="dxa"/>
            <w:tcBorders/>
            <w:vAlign w:val="center"/>
          </w:tcPr>
          <w:p>
            <w:pPr>
              <w:pStyle w:val="TableContents"/>
              <w:bidi w:val="0"/>
              <w:spacing w:before="0" w:after="283"/>
              <w:jc w:val="both"/>
              <w:rPr/>
            </w:pPr>
            <w:r>
              <w:rPr/>
              <w:t>whether or not those monies are presently payable.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the directors may declare any share to be wholly or partly exempt from the lien on shares provisions of the Memorandum and Articles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in such manner as the directors may determine, any share on which the sum in respect of which the lien exists is presently payable, if due notice that such sum is payable has been given (as prescribed by the Memorandum and Articles of Association) and, within 14 days of the date on which the notice is deemed to be given under the Memorandum and Articles of Association, such notice has not been complied with.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Unclaimed Dividend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dividend that remains unclaimed for a period of six years after it became due for payment shall be forfeited to, and shall cease to remain owing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Forfeiture or Surrender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shareholder fails to pay any call, the directors may give to such shareholder not less than 14 clear days’ notice requiring payment and specifying the amount unpaid including any interest which may have accrued, any expenses which have been incurred by us due to that person’s default and the place where payment is to be made. The notice shall also contain a warning that if the notice is not complied with, the shares in respect of which the call is made will be liable to be forfeited.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such notice is not complied with, the directors may, before the payment required by the notice has been received, resolve that any share the subject of that notice be forfeited (which forfeiture shall include all dividends or other monies payable in respect of the forfeited share and not paid before such forfeiture).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forfeited share may be sold, re-allotted or otherwise disposed of on such terms and in such manner as the directors determine and at any time before a sale, re-allotment or disposition the forfeiture may be cancelled on such terms as the directors think 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whose shares have been forfeited shall cease to be a shareholder in respect of the forfeited shares, but shall, notwithstanding such forfeiture, remain liable to pay to us all monies which at the date of forfeiture were payable by him to us in respect of the shares, together with all expenses and interest from the date of forfeiture or surrender until payment, but his liability shall cease if and when we receive payment in full of the unpaid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declaration, whether statutory or under oath, made by a director or the secretary shall be conclusive evidence that the person making the declaration is a director or secretary and that the particular shares have been forfeited or surrendered on a particular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execution of an instrument of transfer, if necessary, the declaration shall constitute good title to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 Premium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shall establish a share premium account and shall carry the credit of such account from time to time to a sum equal to the amount or value of the premium paid on the issue of any share or capital contributed or such other amounts required by the Cayman Companies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Redemption and Purchase of Own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Cayman Companies Act and any rights for the time being conferred on the shareholders holding a particular class of shares, we may by action of our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5"/>
        <w:gridCol w:w="9925"/>
      </w:tblGrid>
      <w:tr>
        <w:trPr/>
        <w:tc>
          <w:tcPr>
            <w:tcW w:w="75"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both"/>
              <w:rPr>
                <w:sz w:val="20"/>
              </w:rPr>
            </w:pPr>
            <w:r>
              <w:rPr>
                <w:sz w:val="20"/>
              </w:rPr>
              <w:t>(a)</w:t>
            </w:r>
          </w:p>
        </w:tc>
        <w:tc>
          <w:tcPr>
            <w:tcW w:w="9925" w:type="dxa"/>
            <w:tcBorders/>
            <w:vAlign w:val="center"/>
          </w:tcPr>
          <w:p>
            <w:pPr>
              <w:pStyle w:val="TableContents"/>
              <w:bidi w:val="0"/>
              <w:spacing w:before="0" w:after="283"/>
              <w:jc w:val="both"/>
              <w:rPr>
                <w:sz w:val="20"/>
              </w:rPr>
            </w:pPr>
            <w:r>
              <w:rPr>
                <w:sz w:val="20"/>
              </w:rPr>
              <w:t>issue shares that are to be redeemed or liable to be redeemed, at our option or the shareholder holding those redeemable shares, on the terms and in the manner our directors determine before the issue of those shares;</w:t>
            </w:r>
          </w:p>
        </w:tc>
      </w:tr>
      <w:tr>
        <w:trPr/>
        <w:tc>
          <w:tcPr>
            <w:tcW w:w="75"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99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both"/>
              <w:rPr>
                <w:sz w:val="20"/>
              </w:rPr>
            </w:pPr>
            <w:r>
              <w:rPr>
                <w:sz w:val="20"/>
              </w:rPr>
              <w:t>(b)</w:t>
            </w:r>
          </w:p>
        </w:tc>
        <w:tc>
          <w:tcPr>
            <w:tcW w:w="9925" w:type="dxa"/>
            <w:tcBorders/>
            <w:vAlign w:val="center"/>
          </w:tcPr>
          <w:p>
            <w:pPr>
              <w:pStyle w:val="TableContents"/>
              <w:bidi w:val="0"/>
              <w:spacing w:before="0" w:after="283"/>
              <w:jc w:val="both"/>
              <w:rPr>
                <w:sz w:val="20"/>
              </w:rPr>
            </w:pPr>
            <w:r>
              <w:rPr>
                <w:sz w:val="20"/>
              </w:rPr>
              <w:t>with the consent by special resolution of the shareholders holding shares of a particular class, vary the rights attaching to that class of shares so as to provide that those shares are to be redeemed or are liable to be redeemed at our option on the terms and in the manner which the directors determine at the time of such variation; and</w:t>
            </w:r>
          </w:p>
        </w:tc>
      </w:tr>
      <w:tr>
        <w:trPr/>
        <w:tc>
          <w:tcPr>
            <w:tcW w:w="75"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99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both"/>
              <w:rPr>
                <w:sz w:val="20"/>
              </w:rPr>
            </w:pPr>
            <w:r>
              <w:rPr>
                <w:sz w:val="20"/>
              </w:rPr>
              <w:t>(c)</w:t>
            </w:r>
          </w:p>
        </w:tc>
        <w:tc>
          <w:tcPr>
            <w:tcW w:w="9925" w:type="dxa"/>
            <w:tcBorders/>
            <w:vAlign w:val="center"/>
          </w:tcPr>
          <w:p>
            <w:pPr>
              <w:pStyle w:val="TableContents"/>
              <w:bidi w:val="0"/>
              <w:spacing w:before="0" w:after="283"/>
              <w:jc w:val="both"/>
              <w:rPr>
                <w:sz w:val="20"/>
              </w:rPr>
            </w:pPr>
            <w:r>
              <w:rPr>
                <w:sz w:val="20"/>
              </w:rPr>
              <w:t>purchase all or any of our own shares of any class including any redeemable shares on the terms and in the manner which the directors determine at the time of such purchase.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make a payment in respect of the redemption or purchase of its own shares in any manner authorized by the Cayman Companies Act, including out of any combination of capital, our profits and the proceeds of a fresh issue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making a payment in respect of the redemption or purchase of shares, the directors may make the payment in cash or in specie (or partly in one and partly in the other) if so authorized by the terms of the allotment of those shares or by the terms applying to those shares, or otherwise by agreement with the shareholder holding those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Transfer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a transfer of Class A Ordinary Shares complies with applicable rules of the Nasdaq Capital Market, a shareholder may transfer Class A Ordinary Shares or Class B Ordinary Shares to another person by completing an instrument of transfer in a common form or, with respect to Class A Ordinary Shares, in a form prescribed by Nasdaq, or in any other form approved by the directors, executed: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5"/>
        <w:gridCol w:w="9902"/>
      </w:tblGrid>
      <w:tr>
        <w:trPr/>
        <w:tc>
          <w:tcPr>
            <w:tcW w:w="3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(a)</w:t>
            </w:r>
          </w:p>
        </w:tc>
        <w:tc>
          <w:tcPr>
            <w:tcW w:w="9902" w:type="dxa"/>
            <w:tcBorders/>
            <w:vAlign w:val="center"/>
          </w:tcPr>
          <w:p>
            <w:pPr>
              <w:pStyle w:val="TableContents"/>
              <w:bidi w:val="0"/>
              <w:spacing w:before="0" w:after="283"/>
              <w:jc w:val="both"/>
              <w:rPr/>
            </w:pPr>
            <w:r>
              <w:rPr/>
              <w:t>where the Class A Ordinary Shares or Class B Ordinary Shares are fully paid, by or on behalf of that shareholder;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2"/>
        <w:gridCol w:w="9895"/>
      </w:tblGrid>
      <w:tr>
        <w:trPr/>
        <w:tc>
          <w:tcPr>
            <w:tcW w:w="3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(b)</w:t>
            </w:r>
          </w:p>
        </w:tc>
        <w:tc>
          <w:tcPr>
            <w:tcW w:w="9895" w:type="dxa"/>
            <w:tcBorders/>
            <w:vAlign w:val="center"/>
          </w:tcPr>
          <w:p>
            <w:pPr>
              <w:pStyle w:val="TableContents"/>
              <w:bidi w:val="0"/>
              <w:spacing w:before="0" w:after="283"/>
              <w:jc w:val="both"/>
              <w:rPr/>
            </w:pPr>
            <w:r>
              <w:rPr/>
              <w:t>where the Class A Ordinary Shares or Class B Ordinary Shares are partly paid, by or on behalf of that shareholder and the transferee.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transferor shall be deemed to remain the holder of a Class A Ordinary Share or Class B Ordinary Share until the name of the transferee is entered into the register of members of the Company.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Class A Ordinary Shares or Class B Ordinary Shares in question are not listed on or subject to the rules of the Nasdaq Capital Market, our board of directors may, in its absolute discretion, decline to register any transfer of any Class A Ordinary Share or Class B Ordinary Share that has not been fully paid up or is subject to a company lien. Our board of directors may also decline to register any transfer of such Class A Ordinary Share or Class B Ordinary Share unless: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8"/>
        <w:gridCol w:w="9922"/>
      </w:tblGrid>
      <w:tr>
        <w:trPr/>
        <w:tc>
          <w:tcPr>
            <w:tcW w:w="75"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both"/>
              <w:rPr>
                <w:sz w:val="20"/>
              </w:rPr>
            </w:pPr>
            <w:r>
              <w:rPr>
                <w:sz w:val="20"/>
              </w:rPr>
              <w:t>(a)</w:t>
            </w:r>
          </w:p>
        </w:tc>
        <w:tc>
          <w:tcPr>
            <w:tcW w:w="9922" w:type="dxa"/>
            <w:tcBorders/>
            <w:vAlign w:val="center"/>
          </w:tcPr>
          <w:p>
            <w:pPr>
              <w:pStyle w:val="TableContents"/>
              <w:bidi w:val="0"/>
              <w:spacing w:before="0" w:after="283"/>
              <w:jc w:val="both"/>
              <w:rPr>
                <w:sz w:val="20"/>
              </w:rPr>
            </w:pPr>
            <w:r>
              <w:rPr>
                <w:sz w:val="20"/>
              </w:rPr>
              <w:t>the instrument of transfer is lodged with the Company, accompanied by the certificate for the Class A Ordinary Shares or Class B Ordinary Shares to which it relates and such other evidence as our board of directors may reasonably require to show the right of the transferor to make the transfer;</w:t>
            </w:r>
          </w:p>
        </w:tc>
      </w:tr>
      <w:tr>
        <w:trPr/>
        <w:tc>
          <w:tcPr>
            <w:tcW w:w="75"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992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both"/>
              <w:rPr>
                <w:sz w:val="20"/>
              </w:rPr>
            </w:pPr>
            <w:r>
              <w:rPr>
                <w:sz w:val="20"/>
              </w:rPr>
              <w:t>(b)</w:t>
            </w:r>
          </w:p>
        </w:tc>
        <w:tc>
          <w:tcPr>
            <w:tcW w:w="9922" w:type="dxa"/>
            <w:tcBorders/>
            <w:vAlign w:val="center"/>
          </w:tcPr>
          <w:p>
            <w:pPr>
              <w:pStyle w:val="TableContents"/>
              <w:bidi w:val="0"/>
              <w:spacing w:before="0" w:after="283"/>
              <w:jc w:val="both"/>
              <w:rPr>
                <w:sz w:val="20"/>
              </w:rPr>
            </w:pPr>
            <w:r>
              <w:rPr>
                <w:sz w:val="20"/>
              </w:rPr>
              <w:t>the instrument of transfer is in respect of only one class of shares;</w:t>
            </w:r>
          </w:p>
        </w:tc>
      </w:tr>
      <w:tr>
        <w:trPr/>
        <w:tc>
          <w:tcPr>
            <w:tcW w:w="75"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992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both"/>
              <w:rPr>
                <w:sz w:val="20"/>
              </w:rPr>
            </w:pPr>
            <w:r>
              <w:rPr>
                <w:sz w:val="20"/>
              </w:rPr>
              <w:t>(c)</w:t>
            </w:r>
          </w:p>
        </w:tc>
        <w:tc>
          <w:tcPr>
            <w:tcW w:w="9922" w:type="dxa"/>
            <w:tcBorders/>
            <w:vAlign w:val="center"/>
          </w:tcPr>
          <w:p>
            <w:pPr>
              <w:pStyle w:val="TableContents"/>
              <w:bidi w:val="0"/>
              <w:spacing w:before="0" w:after="283"/>
              <w:jc w:val="both"/>
              <w:rPr>
                <w:sz w:val="20"/>
              </w:rPr>
            </w:pPr>
            <w:r>
              <w:rPr>
                <w:sz w:val="20"/>
              </w:rPr>
              <w:t>the instrument of transfer is properly stamped, if required;</w:t>
            </w:r>
          </w:p>
        </w:tc>
      </w:tr>
      <w:tr>
        <w:trPr/>
        <w:tc>
          <w:tcPr>
            <w:tcW w:w="75"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992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both"/>
              <w:rPr>
                <w:sz w:val="20"/>
              </w:rPr>
            </w:pPr>
            <w:r>
              <w:rPr>
                <w:sz w:val="20"/>
              </w:rPr>
              <w:t>(d)</w:t>
            </w:r>
          </w:p>
        </w:tc>
        <w:tc>
          <w:tcPr>
            <w:tcW w:w="9922" w:type="dxa"/>
            <w:tcBorders/>
            <w:vAlign w:val="center"/>
          </w:tcPr>
          <w:p>
            <w:pPr>
              <w:pStyle w:val="TableContents"/>
              <w:bidi w:val="0"/>
              <w:spacing w:before="0" w:after="283"/>
              <w:jc w:val="both"/>
              <w:rPr>
                <w:sz w:val="20"/>
              </w:rPr>
            </w:pPr>
            <w:r>
              <w:rPr>
                <w:sz w:val="20"/>
              </w:rPr>
              <w:t>the Class A Ordinary Share or Class B Ordinary Share transferred is fully paid and free of any lien in favor of us;</w:t>
            </w:r>
          </w:p>
        </w:tc>
      </w:tr>
      <w:tr>
        <w:trPr/>
        <w:tc>
          <w:tcPr>
            <w:tcW w:w="75"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992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both"/>
              <w:rPr>
                <w:sz w:val="20"/>
              </w:rPr>
            </w:pPr>
            <w:r>
              <w:rPr>
                <w:sz w:val="20"/>
              </w:rPr>
              <w:t>(e)</w:t>
            </w:r>
          </w:p>
        </w:tc>
        <w:tc>
          <w:tcPr>
            <w:tcW w:w="9922" w:type="dxa"/>
            <w:tcBorders/>
            <w:vAlign w:val="center"/>
          </w:tcPr>
          <w:p>
            <w:pPr>
              <w:pStyle w:val="TableContents"/>
              <w:bidi w:val="0"/>
              <w:spacing w:before="0" w:after="283"/>
              <w:jc w:val="both"/>
              <w:rPr>
                <w:sz w:val="20"/>
              </w:rPr>
            </w:pPr>
            <w:r>
              <w:rPr>
                <w:sz w:val="20"/>
              </w:rPr>
              <w:t>any fee related to the transfer has been paid to us; and</w:t>
            </w:r>
          </w:p>
        </w:tc>
      </w:tr>
      <w:tr>
        <w:trPr/>
        <w:tc>
          <w:tcPr>
            <w:tcW w:w="75"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992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both"/>
              <w:rPr>
                <w:sz w:val="20"/>
              </w:rPr>
            </w:pPr>
            <w:r>
              <w:rPr>
                <w:sz w:val="20"/>
              </w:rPr>
              <w:t>(f)</w:t>
            </w:r>
          </w:p>
        </w:tc>
        <w:tc>
          <w:tcPr>
            <w:tcW w:w="9922" w:type="dxa"/>
            <w:tcBorders/>
            <w:vAlign w:val="center"/>
          </w:tcPr>
          <w:p>
            <w:pPr>
              <w:pStyle w:val="TableContents"/>
              <w:bidi w:val="0"/>
              <w:spacing w:before="0" w:after="283"/>
              <w:jc w:val="both"/>
              <w:rPr>
                <w:sz w:val="20"/>
              </w:rPr>
            </w:pPr>
            <w:r>
              <w:rPr>
                <w:sz w:val="20"/>
              </w:rPr>
              <w:t>the transfer is not to more than four joint holders.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directors refuse to register a transfer, they are required, within three months after the date on which the instrument of transfer was lodged, to send to each of the transferor and the transferee notice of such refusal.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of transfers may, on 14 calendar days’ notice being given by advertisement in such one or more newspapers or by electronic means, be suspended and our register of members closed at such times and for such periods as our board of directors may from time to time determine. The registration of transfers, however, may not be suspended, and the register may not be closed, for more than 30 days in any year.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Capitalization of Profits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resolve to capitalize: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7"/>
        <w:gridCol w:w="9910"/>
      </w:tblGrid>
      <w:tr>
        <w:trPr/>
        <w:tc>
          <w:tcPr>
            <w:tcW w:w="3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(a)</w:t>
            </w:r>
          </w:p>
        </w:tc>
        <w:tc>
          <w:tcPr>
            <w:tcW w:w="9910" w:type="dxa"/>
            <w:tcBorders/>
            <w:vAlign w:val="center"/>
          </w:tcPr>
          <w:p>
            <w:pPr>
              <w:pStyle w:val="TableContents"/>
              <w:bidi w:val="0"/>
              <w:spacing w:before="0" w:after="283"/>
              <w:jc w:val="both"/>
              <w:rPr/>
            </w:pPr>
            <w:r>
              <w:rPr/>
              <w:t>any part of our profits not required for paying any preferential dividend (whether or not those profits are available for distribution); or</w:t>
            </w:r>
          </w:p>
        </w:tc>
      </w:tr>
    </w:tbl>
    <w:p>
      <w:pPr>
        <w:pStyle w:val="TextBody"/>
        <w:bidi w:val="0"/>
        <w:spacing w:before="0" w:after="0"/>
        <w:ind w:left="0" w:right="0" w:hanging="0"/>
        <w:jc w:val="left"/>
        <w:rPr>
          <w:caps w:val="false"/>
          <w:smallCaps w:val="false"/>
        </w:rPr>
      </w:pPr>
      <w:r>
        <w:rPr>
          <w:caps w:val="false"/>
          <w:smallCaps w:val="false"/>
        </w:rPr>
        <w:t> </w:t>
      </w:r>
    </w:p>
    <w:tbl>
      <w:tblPr>
        <w:tblW w:w="9573" w:type="dxa"/>
        <w:jc w:val="left"/>
        <w:tblInd w:w="0" w:type="dxa"/>
        <w:tblLayout w:type="fixed"/>
        <w:tblCellMar>
          <w:top w:w="0" w:type="dxa"/>
          <w:left w:w="0" w:type="dxa"/>
          <w:bottom w:w="0" w:type="dxa"/>
          <w:right w:w="0" w:type="dxa"/>
        </w:tblCellMar>
      </w:tblPr>
      <w:tblGrid>
        <w:gridCol w:w="38"/>
        <w:gridCol w:w="290"/>
        <w:gridCol w:w="924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9245" w:type="dxa"/>
            <w:tcBorders/>
            <w:vAlign w:val="center"/>
          </w:tcPr>
          <w:p>
            <w:pPr>
              <w:pStyle w:val="TableContents"/>
              <w:bidi w:val="0"/>
              <w:spacing w:before="0" w:after="283"/>
              <w:jc w:val="both"/>
              <w:rPr/>
            </w:pPr>
            <w:r>
              <w:rPr/>
              <w:t>any sum standing to the credit of our share premium account or capital redemption reserve, if 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resolved to be capitalized must be appropriated to the shareholders who would have been entitled to it had it been distributed by way of dividend and in the same proportions.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Liquidation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wound up, the shareholders may, subject to the Memorandum and Articles of Association and any other sanction required by the Cayman Companies Act, pass a special resolution allowing the liquidator to do either or both of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(a)</w:t>
            </w:r>
          </w:p>
        </w:tc>
        <w:tc>
          <w:tcPr>
            <w:tcW w:w="9937" w:type="dxa"/>
            <w:tcBorders/>
            <w:vAlign w:val="center"/>
          </w:tcPr>
          <w:p>
            <w:pPr>
              <w:pStyle w:val="TableContents"/>
              <w:bidi w:val="0"/>
              <w:spacing w:before="0" w:after="283"/>
              <w:jc w:val="both"/>
              <w:rPr/>
            </w:pPr>
            <w:r>
              <w:rPr/>
              <w:t>to divide in specie among the shareholders the whole or any part of our assets and, for that purpose, to value any assets and to determine how the division shall be carried out as between the shareholders or different classes of shareholders;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3"/>
        <w:gridCol w:w="9894"/>
      </w:tblGrid>
      <w:tr>
        <w:trPr/>
        <w:tc>
          <w:tcPr>
            <w:tcW w:w="3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(b)</w:t>
            </w:r>
          </w:p>
        </w:tc>
        <w:tc>
          <w:tcPr>
            <w:tcW w:w="9894" w:type="dxa"/>
            <w:tcBorders/>
            <w:vAlign w:val="center"/>
          </w:tcPr>
          <w:p>
            <w:pPr>
              <w:pStyle w:val="TableContents"/>
              <w:bidi w:val="0"/>
              <w:spacing w:before="0" w:after="283"/>
              <w:jc w:val="both"/>
              <w:rPr/>
            </w:pPr>
            <w:r>
              <w:rPr/>
              <w:t>to vest the whole or any part of the assets in trustees for the benefit of shareholders and those liable to contribute to the winding up.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have the authority to present a petition for our winding up to the Grand Court of the Cayman Islands on our behalf without the sanction of a resolution passed at a general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Requirements to Change the Rights of Holders of Ordinary Shares (Item 10.B.4 of Form 20-F)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Variation of Rights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our capital is divided into different classes of shares, the rights attaching to any class of share (unless otherwise provided by the terms of issue of the shares of that class) may be varied either with the consent in writing of the holders of not less than two-thirds of the issued shares of that class, or with the sanction of a resolution passed by a majority of not less than two-thirds of the holders of shares of the class present in person or by proxy at a separate general meeting of the holders of shares of that class.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terms on which a class of shares was issued state otherwise, the rights conferred on the shareholder holding shares of any class shall not be deemed to be varied by the creation or issue of further shares ranking pari passu with the existing shares of that class.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Limitations on the Rights to Own Ordinary Shares (Item 10.B.6 of Form 20-F)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limitations under the laws of the Cayman Islands or under the Memorandum and Articles of Association that limit the right of non-resident or foreign owners to hold or vote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Provisions Affecting Any Change of Control (Item 10.B.7 of Form 20-F)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Anti-Takeover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provisions of our Memorandum and Articles of Association may discourage, delay, or prevent a change in control of our company or management that shareholders may consider favorable, including provisions that authorize our board of directors to issue shares at such times and on such terms and conditions as the board of directors may decide without any further vote or action by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Cayman Companies Act, our directors may only exercise the rights and powers granted to them under our Memorandum and Articles of Association for what they believe in good faith to be in the best interests of our company and for a proper purpose.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Ownership Threshold (Item 10.B.8 of Form 20-F)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provisions under the Cayman Companies Act or under the Memorandum and Articles of Association that govern the ownership threshold above which shareholder ownership must be disclosed.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Differences Between the Law of Different Jurisdictions (Item 10.B.9 of Form 20-F)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Companies Act is derived, to a large extent, from the older Companies Acts of England and Wales but does not follow recent United Kingdom statutory enactments, and accordingly there are significant differences between the Cayman Companies Act and the current Companies Act of England and Wales. In addition, the Cayman Companies Act differs from laws applicable to United States corporations and their shareholders. Set forth below is a summary of certain significant differences between the provisions of the Cayman Companies Act applicable to us and the comparable laws applicable to companies incorporated in the State of Delaware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Mergers and Similar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Companies Act permits mergers and consolidations between 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plan must be filed with the Registrar of Companies together with a declaration as to the solvency of the consolidated or surviving company, a list of the assets and liabilities of each constituent company, and an undertaking that a copy of the certificate of merger or consolidation will be given to the shareholders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merger between a Cayman Islands parent company and its Cayman Islands subsidiary or subsidiaries does not require authorization by a resolution of shareholders. For this purpose, a subsidiary is a company of which at least 90% of the issued shares entitled to vote are owned by the parent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consent of each holder of a fixed or floating security interest of a constituent company is required unless this requirement is waived by a court in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in certain limited circumstances, a dissenting shareholder of a Cayman Islands constituent company is entitled to payment of the fair value of his or her shares upon dissenting from a merger or consolidation. The exercise of such dissenter rights will preclude the exercise by the dissenting shareholder of any other rights to which he or she might otherwise be entitled by virtue of holding shares, except for the right to seek relief on the grounds that the merger or consolidation is void or unlawful.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there are statutory provisions that facilitate the reconstruction and amalgamation of companies, provided that the arrangement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both"/>
              <w:rPr>
                <w:sz w:val="20"/>
              </w:rPr>
            </w:pPr>
            <w:r>
              <w:rPr>
                <w:sz w:val="20"/>
              </w:rPr>
              <w:t>(a)</w:t>
            </w:r>
          </w:p>
        </w:tc>
        <w:tc>
          <w:tcPr>
            <w:tcW w:w="9911" w:type="dxa"/>
            <w:tcBorders/>
            <w:vAlign w:val="center"/>
          </w:tcPr>
          <w:p>
            <w:pPr>
              <w:pStyle w:val="TableContents"/>
              <w:bidi w:val="0"/>
              <w:spacing w:before="0" w:after="283"/>
              <w:jc w:val="both"/>
              <w:rPr>
                <w:sz w:val="20"/>
              </w:rPr>
            </w:pPr>
            <w:r>
              <w:rPr>
                <w:sz w:val="20"/>
              </w:rPr>
              <w:t>the statutory provisions as to the required majority vote have been met;</w:t>
            </w:r>
          </w:p>
        </w:tc>
      </w:tr>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991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both"/>
              <w:rPr>
                <w:sz w:val="20"/>
              </w:rPr>
            </w:pPr>
            <w:r>
              <w:rPr>
                <w:sz w:val="20"/>
              </w:rPr>
              <w:t>(b)</w:t>
            </w:r>
          </w:p>
        </w:tc>
        <w:tc>
          <w:tcPr>
            <w:tcW w:w="9911" w:type="dxa"/>
            <w:tcBorders/>
            <w:vAlign w:val="center"/>
          </w:tcPr>
          <w:p>
            <w:pPr>
              <w:pStyle w:val="TableContents"/>
              <w:bidi w:val="0"/>
              <w:spacing w:before="0" w:after="283"/>
              <w:jc w:val="both"/>
              <w:rPr>
                <w:sz w:val="20"/>
              </w:rPr>
            </w:pPr>
            <w:r>
              <w:rPr>
                <w:sz w:val="20"/>
              </w:rPr>
              <w:t>the shareholders have been fairly represented at the meeting in question and the statutory majority are acting bona fide without coercion of the minority to promote interests adverse to those of the class;</w:t>
            </w:r>
          </w:p>
        </w:tc>
      </w:tr>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991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both"/>
              <w:rPr>
                <w:sz w:val="20"/>
              </w:rPr>
            </w:pPr>
            <w:r>
              <w:rPr>
                <w:sz w:val="20"/>
              </w:rPr>
              <w:t>(c)</w:t>
            </w:r>
          </w:p>
        </w:tc>
        <w:tc>
          <w:tcPr>
            <w:tcW w:w="9911" w:type="dxa"/>
            <w:tcBorders/>
            <w:vAlign w:val="center"/>
          </w:tcPr>
          <w:p>
            <w:pPr>
              <w:pStyle w:val="TableContents"/>
              <w:bidi w:val="0"/>
              <w:spacing w:before="0" w:after="283"/>
              <w:jc w:val="both"/>
              <w:rPr>
                <w:sz w:val="20"/>
              </w:rPr>
            </w:pPr>
            <w:r>
              <w:rPr>
                <w:sz w:val="20"/>
              </w:rPr>
              <w:t>the arrangement is such that may be reasonably approved by an intelligent and honest man of that class acting in respect of his interest; and</w:t>
            </w:r>
          </w:p>
        </w:tc>
      </w:tr>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991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both"/>
              <w:rPr>
                <w:sz w:val="20"/>
              </w:rPr>
            </w:pPr>
            <w:r>
              <w:rPr>
                <w:sz w:val="20"/>
              </w:rPr>
              <w:t>(d)</w:t>
            </w:r>
          </w:p>
        </w:tc>
        <w:tc>
          <w:tcPr>
            <w:tcW w:w="9911" w:type="dxa"/>
            <w:tcBorders/>
            <w:vAlign w:val="center"/>
          </w:tcPr>
          <w:p>
            <w:pPr>
              <w:pStyle w:val="TableContents"/>
              <w:bidi w:val="0"/>
              <w:spacing w:before="0" w:after="283"/>
              <w:jc w:val="both"/>
              <w:rPr>
                <w:sz w:val="20"/>
              </w:rPr>
            </w:pPr>
            <w:r>
              <w:rPr>
                <w:sz w:val="20"/>
              </w:rPr>
              <w:t>the arrangement is not one that would more properly be sanctioned under some other provision of the Cayman Companies Act.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 takeover offer is made and accepted by holders of 90% of the shares affected within four months, the offeror may, within a two-month period commencing on the expiration of such four month period, require the holders of the remaining shares to transfer such shares on the terms of the offer. An objection can be made to the Grand Court of the Cayman Islands but this is unlikely to succeed in the case of an offer which has been so approved unless there is evidence of fraud, bad faith or collusion.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arrangement and reconstruction is thus approved, or if a takeover offer is made and accepted,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Shareholders’ Suits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principle, we will normally be the proper plaintiff to sue for a wrong done to us as a company, and as a general rule, a derivative action may not be brought by a minority shareholder. However, based on English law authorities, which would in all likelihood be of persuasive authority in the Cayman Islands, the Cayman Islands courts can be expected to follow and apply the common law principles (namely the rule in Foss v. Harbottle and the exceptions thereto) so that a non-controlling shareholder may be permitted to commence a class action against or derivative actions in the name of the company to challenge: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both"/>
              <w:rPr>
                <w:sz w:val="20"/>
              </w:rPr>
            </w:pPr>
            <w:r>
              <w:rPr>
                <w:sz w:val="20"/>
              </w:rPr>
              <w:t>(a)</w:t>
            </w:r>
          </w:p>
        </w:tc>
        <w:tc>
          <w:tcPr>
            <w:tcW w:w="9903" w:type="dxa"/>
            <w:tcBorders/>
            <w:vAlign w:val="center"/>
          </w:tcPr>
          <w:p>
            <w:pPr>
              <w:pStyle w:val="TableContents"/>
              <w:bidi w:val="0"/>
              <w:spacing w:before="0" w:after="283"/>
              <w:jc w:val="both"/>
              <w:rPr>
                <w:sz w:val="20"/>
              </w:rPr>
            </w:pPr>
            <w:r>
              <w:rPr>
                <w:sz w:val="20"/>
              </w:rPr>
              <w:t>an act which is illegal or ultra vires with respect to the company and is therefore incapable of ratification by the shareholders;</w:t>
            </w:r>
          </w:p>
        </w:tc>
      </w:tr>
      <w:tr>
        <w:trPr/>
        <w:tc>
          <w:tcPr>
            <w:tcW w:w="75"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990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both"/>
              <w:rPr>
                <w:sz w:val="20"/>
              </w:rPr>
            </w:pPr>
            <w:r>
              <w:rPr>
                <w:sz w:val="20"/>
              </w:rPr>
              <w:t>(b)</w:t>
            </w:r>
          </w:p>
        </w:tc>
        <w:tc>
          <w:tcPr>
            <w:tcW w:w="9903" w:type="dxa"/>
            <w:tcBorders/>
            <w:vAlign w:val="center"/>
          </w:tcPr>
          <w:p>
            <w:pPr>
              <w:pStyle w:val="TableContents"/>
              <w:bidi w:val="0"/>
              <w:spacing w:before="0" w:after="283"/>
              <w:jc w:val="both"/>
              <w:rPr>
                <w:sz w:val="20"/>
              </w:rPr>
            </w:pPr>
            <w:r>
              <w:rPr>
                <w:sz w:val="20"/>
              </w:rPr>
              <w:t>an act which, although not ultra vires, requires authorization by a qualified (or special) majority (that is, more than a simple majority) which has not been obtained; and</w:t>
            </w:r>
          </w:p>
        </w:tc>
      </w:tr>
      <w:tr>
        <w:trPr/>
        <w:tc>
          <w:tcPr>
            <w:tcW w:w="75"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990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both"/>
              <w:rPr>
                <w:sz w:val="20"/>
              </w:rPr>
            </w:pPr>
            <w:r>
              <w:rPr>
                <w:sz w:val="20"/>
              </w:rPr>
              <w:t>(c)</w:t>
            </w:r>
          </w:p>
        </w:tc>
        <w:tc>
          <w:tcPr>
            <w:tcW w:w="9903" w:type="dxa"/>
            <w:tcBorders/>
            <w:vAlign w:val="center"/>
          </w:tcPr>
          <w:p>
            <w:pPr>
              <w:pStyle w:val="TableContents"/>
              <w:bidi w:val="0"/>
              <w:spacing w:before="0" w:after="283"/>
              <w:jc w:val="both"/>
              <w:rPr>
                <w:sz w:val="20"/>
              </w:rPr>
            </w:pPr>
            <w:r>
              <w:rPr>
                <w:sz w:val="20"/>
              </w:rPr>
              <w:t>an act which constitutes a “fraud on the minority” where the wrongdoers are themselves in control of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Indemnification of Directors and Executive Officers and Limitation of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provide to the extent permitted by law, we shall indemnify each existing or former secretary, director (including alternate director), and any of our other officers (including an investment adviser or an administrator or liquidator) and their personal representatives against: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sz w:val="20"/>
              </w:rPr>
            </w:pPr>
            <w:r>
              <w:rPr>
                <w:sz w:val="20"/>
              </w:rPr>
              <w:t>(a)</w:t>
            </w:r>
          </w:p>
        </w:tc>
        <w:tc>
          <w:tcPr>
            <w:tcW w:w="9930" w:type="dxa"/>
            <w:tcBorders/>
            <w:vAlign w:val="center"/>
          </w:tcPr>
          <w:p>
            <w:pPr>
              <w:pStyle w:val="TableContents"/>
              <w:bidi w:val="0"/>
              <w:spacing w:before="0" w:after="283"/>
              <w:jc w:val="both"/>
              <w:rPr>
                <w:sz w:val="20"/>
              </w:rPr>
            </w:pPr>
            <w:r>
              <w:rPr>
                <w:sz w:val="20"/>
              </w:rPr>
              <w:t>all actions, proceedings, costs, charges, expenses, losses, damages, or liabilities incurred or sustained by the existing or former director (including alternate director), secretary, or officer in or about the conduct of our business or affairs or in the execution or discharge of the existing or former director (including alternate director), secretary’s or officer’s duties, powers, authorities, or discretions; and</w:t>
            </w:r>
          </w:p>
        </w:tc>
      </w:tr>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sz w:val="20"/>
              </w:rPr>
            </w:pPr>
            <w:r>
              <w:rPr>
                <w:sz w:val="20"/>
              </w:rPr>
              <w:t>(b)</w:t>
            </w:r>
          </w:p>
        </w:tc>
        <w:tc>
          <w:tcPr>
            <w:tcW w:w="9930" w:type="dxa"/>
            <w:tcBorders/>
            <w:vAlign w:val="center"/>
          </w:tcPr>
          <w:p>
            <w:pPr>
              <w:pStyle w:val="TableContents"/>
              <w:bidi w:val="0"/>
              <w:spacing w:before="0" w:after="283"/>
              <w:jc w:val="both"/>
              <w:rPr>
                <w:sz w:val="20"/>
              </w:rPr>
            </w:pPr>
            <w:r>
              <w:rPr>
                <w:sz w:val="20"/>
              </w:rPr>
              <w:t>without limitation to paragraph (a) above, all costs, expenses, losses, or liabilities incurred by the existing or former director (including alternate director), secretary, or officer in defending (whether successfully or otherwise) any civil, criminal, administrative, or investigative proceedings (whether threatened, pending or completed) concerning us or our affairs in any court or tribunal, whether in the Cayman Islands or elsewhere.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such existing or former director (including alternate director), secretary, or officer, however, shall be indemnified in respect of any matter arising out of his own dishonesty.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law, we may make a payment, or agree to make a payment, whether by way of advance, loan, or otherwise, for any legal costs incurred by an existing or former director (including alternate director), secretary, or any of our officers in respect of any matter identified in above on condition that the director (including alternate director), secretary, or officer must repay the amount paid by us to the extent that it is ultimately found not liable to indemnify the director (including alternate director), the secretary, or that officer for those legal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standard of conduct is generally the same as permitted under the Delaware General Corporation Law for a Delaware corporation. In addition, we intend to enter into indemnification agreements with our directors and executive officers that will provide such persons with additional indemnification beyond that provided in our Memorandum and Articles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Directors’ Fiduciary Duties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 in a manner he or she reasonably believes to be in the best interests of the corporation. He or she must not use his or her corporate position for personal gain or advantage. This duty prohibits self-dealing by a director and mandates that the best interests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matter of Cayman Islands law, a director owes three types of duties to the company: (i) statutory duties, (ii) fiduciary duties, and (iii) common law duties. The Cayman Companies Act imposes a number of statutory duties on a director. A Cayman Islands director’s fiduciary duties are not codified, however the courts of the Cayman Islands have held that a director owes the following fiduciary duties (a) a duty to act in what the director bona fide considers to be in the best interests of the company, (b) a duty to exercise their powers for the purposes they were conferred, (c) a duty to avoid fettering his or her discretion in the future, and (d) a duty to avoid conflicts of interest and of duty. The common law duties owed by a director are those to act with skill, care, and diligence that may reasonably be expected of a person carrying out the same functions as are carried out by that director in relation to the company and, also, to act with the skill, care, and diligence in keeping with a standard of care commensurate with any particular skill they have which enables them to meet a higher standard than a director without those skills. In fulfilling their duty of care to us, our directors must ensure compliance with our Memorandum and Articles of Association, as amended and restated from time to time. We have the right to seek damages if a duty owed by any of our directors is breached.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Shareholder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shareholder has the right to put any proposal before the annual meeting of shareholders, provided it complies with the notice provisions in the governing documents. The Delaware General Corporation Law does not provide shareholders an express right to put any proposal before the annual meeting of shareholders, but in keeping with common law, Delaware corporations generally afford shareholders an opportunity to make proposals and nominations provided that they comply with the notice provisions in the certificate of incorporation or bylaws. A special meeting may be called by the board of directors or any other person authorized to do so in the governing documents, but shareholders may be precluded from calling special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Companies Act provides shareholders with only limited rights to requisition a general meeting, and does not provide shareholders with any right to put any proposal before a general meeting. However, these rights may be provided in a company’s articles of association. Our Memorandum and Articles of Association provide that general meetings shall be convened on the written requisition of one or more of the shareholders entitled to attend and vote at our general meetings who (together) hold not less than 10 percent of the rights to vote at such general meeting in accordance with the notice provisions in the Memorandum and Articles of Association, specifying the purpose of the meeting and signed by each of the shareholders making the requisition. If the directors do not convene such meeting for a date not later than 21 clear days’ after the date of receipt of the written requisition, those shareholders who requested the meeting may convene the general meeting themselves within three months after the end of such period of 21 clear days in which case reasonable expenses incurred by them as a result of the directors failing to convene a meeting shall be reimbursed by us. Our Memorandum and Articles of Association provide no other right to put any proposals before annual general meetings or extraordinary general meetings. As a Cayman Islands exempted company, we are not obligated by law to call shareholders’ annual general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Cumulative Voting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As permitted under the Cayman Companies Act, our Memorandum and Articles of Association do not provide for cumulative voting. As a result, our shareholders are not afforded any less protections or rights on this issue than shareholders of a Delaware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Removal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director of a corporation with a classified board may be removed only for cause with the approval of a majority of the outstanding shares entitled to vote, unless the certificate of incorporation provides otherwise. Subject to the provisions of our Memorandum and Articles of Association (which include the removal of a director by ordinary resolution), the office of a director may be terminated forthwith if (a) he is prohibited by the laws of the Cayman Islands from acting as a director, (b) he is made bankrupt or makes an arrangement or composition with his creditors generally, (c) he resigns his office by notice to us, (d) he only held office as a director for a fixed term and such term expires, (e) in the opinion of a registered medical practitioner by whom he is being treated he becomes physically or mentally incapable of acting as a director, (f) he is given notice by the majority of the other directors (not being less than two in number) to vacate office (without prejudice to any claim for damages for breach of any agreement relating to the provision of the services of such director), (g) he is made subject to any law relating to mental health or incompetence, whether by court order or otherwise, or (h) without the consent of the other directors, he is absent from meetings of directors for continuous period of six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Transactions with Interested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General Corporation Law contains a business combination statute applicable to Delaware public corporations whereby, unless the corporation has specifically elected not to be governed by such statute by amendment to its certificate of incorporation or bylaws that is approved by its shareholders,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stock or who or which is an affiliate or associate of the corporation and owned 15% or more of the corporation’s outstanding voting stock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Companies Act has no comparable statute. As a result, we cannot avail ourselves of the types of protections afforded by the Delaware business combination statute. However, although the Cayman Companies Act does not regulate transactions between a company and its significant shareholders, under Cayman Islands law such transactions must be entered into bona fide in the best interests of the company and for a proper corporate purpose and not with the effect of constituting a fraud on the minority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Dissolution; Winding 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Cayman Companies Act and our Memorandum and Articles of Association, the Company may be wound up by a special resolution of our shareholders, or if the winding up is initiated by our board of directors, by either a special resolution of our members or, if our company is unable to pay its debts as they fall due, by an ordinary resolution of our members. In addition, a company may be wound up by an order of the courts of the Cayman Islands. The court has authority to order winding up in a number of specified circumstances including where it is, in the opinion of the court, just and equitable to do 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Variation of Rights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corporation may vary the rights of a class of shares with the approval of a majority of the outstanding shares of such class, unless the certificate of incorporation provides otherwise. Under the Cayman Companies Act and our Memorandum and Articles of Association, if our share capital is divided into more than one class of shares, the rights attaching to any class of share (unless otherwise provided by the terms of issue of the shares of that class) may be varied either with the consent in writing of the holders of not less than two-thirds of the issued shares of that class, or with the sanction of a resolution passed by a majority of not less than two-thirds of the holders of shares of the class present in person or by proxy at a separate general meeting of the holders of shares of that class.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Amendment of Governing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corporation’s certificate of incorporation may be amended only if adopted and declared advisable by the board of directors and approved by a majority of the outstanding shares entitled to vote, and the bylaws may be amended with the approval of a majority of the outstanding shares entitled to vote and may, if so provided in the certificate of incorporation, also be amended by the board of directors. Under the Cayman Companies Act, our Memorandum and Articles of Association may only be amended by special resolution of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Capital (Item 10.B.10 of Form 20-F)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Cayman Companies Act, we may, by ordinary resolution: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0"/>
        <w:gridCol w:w="9920"/>
      </w:tblGrid>
      <w:tr>
        <w:trPr/>
        <w:tc>
          <w:tcPr>
            <w:tcW w:w="75"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sz w:val="20"/>
              </w:rPr>
            </w:pPr>
            <w:r>
              <w:rPr>
                <w:sz w:val="20"/>
              </w:rPr>
              <w:t>(a)</w:t>
            </w:r>
          </w:p>
        </w:tc>
        <w:tc>
          <w:tcPr>
            <w:tcW w:w="9920" w:type="dxa"/>
            <w:tcBorders/>
            <w:vAlign w:val="center"/>
          </w:tcPr>
          <w:p>
            <w:pPr>
              <w:pStyle w:val="TableContents"/>
              <w:bidi w:val="0"/>
              <w:spacing w:before="0" w:after="283"/>
              <w:jc w:val="both"/>
              <w:rPr>
                <w:sz w:val="20"/>
              </w:rPr>
            </w:pPr>
            <w:r>
              <w:rPr>
                <w:sz w:val="20"/>
              </w:rPr>
              <w:t>increase our share capital by new shares of the amount fixed by that ordinary resolution and with the attached rights, priorities and privileges set out in that ordinary resolution;</w:t>
            </w:r>
          </w:p>
        </w:tc>
      </w:tr>
    </w:tbl>
    <w:p>
      <w:pPr>
        <w:pStyle w:val="TextBody"/>
        <w:bidi w:val="0"/>
        <w:spacing w:before="0" w:after="0"/>
        <w:ind w:left="0" w:right="0" w:hanging="0"/>
        <w:jc w:val="left"/>
        <w:rPr>
          <w:caps w:val="false"/>
          <w:smallCaps w:val="false"/>
        </w:rPr>
      </w:pPr>
      <w:r>
        <w:rPr>
          <w:caps w:val="false"/>
          <w:smallCaps w:val="false"/>
        </w:rPr>
        <w:t> </w:t>
      </w:r>
    </w:p>
    <w:tbl>
      <w:tblPr>
        <w:tblW w:w="8935" w:type="dxa"/>
        <w:jc w:val="left"/>
        <w:tblInd w:w="0" w:type="dxa"/>
        <w:tblLayout w:type="fixed"/>
        <w:tblCellMar>
          <w:top w:w="0" w:type="dxa"/>
          <w:left w:w="0" w:type="dxa"/>
          <w:bottom w:w="0" w:type="dxa"/>
          <w:right w:w="0" w:type="dxa"/>
        </w:tblCellMar>
      </w:tblPr>
      <w:tblGrid>
        <w:gridCol w:w="75"/>
        <w:gridCol w:w="245"/>
        <w:gridCol w:w="861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both"/>
              <w:rPr>
                <w:sz w:val="20"/>
              </w:rPr>
            </w:pPr>
            <w:r>
              <w:rPr>
                <w:sz w:val="20"/>
              </w:rPr>
              <w:t>(b)</w:t>
            </w:r>
          </w:p>
        </w:tc>
        <w:tc>
          <w:tcPr>
            <w:tcW w:w="8615" w:type="dxa"/>
            <w:tcBorders/>
            <w:vAlign w:val="center"/>
          </w:tcPr>
          <w:p>
            <w:pPr>
              <w:pStyle w:val="TableContents"/>
              <w:bidi w:val="0"/>
              <w:spacing w:before="0" w:after="283"/>
              <w:jc w:val="both"/>
              <w:rPr>
                <w:sz w:val="20"/>
              </w:rPr>
            </w:pPr>
            <w:r>
              <w:rPr>
                <w:sz w:val="20"/>
              </w:rPr>
              <w:t>consolidate and divide all or any of our share capital into shares of larger amount than our existing shares;</w:t>
            </w:r>
          </w:p>
        </w:tc>
      </w:tr>
    </w:tbl>
    <w:p>
      <w:pPr>
        <w:pStyle w:val="TextBody"/>
        <w:bidi w:val="0"/>
        <w:spacing w:before="0" w:after="0"/>
        <w:ind w:left="0" w:right="0" w:hanging="0"/>
        <w:jc w:val="left"/>
        <w:rPr>
          <w:caps w:val="false"/>
          <w:smallCaps w:val="false"/>
        </w:rPr>
      </w:pPr>
      <w:r>
        <w:rPr>
          <w:caps w:val="false"/>
          <w:smallCaps w:val="false"/>
        </w:rPr>
        <w:t> </w:t>
      </w:r>
    </w:p>
    <w:tbl>
      <w:tblPr>
        <w:tblW w:w="9760" w:type="dxa"/>
        <w:jc w:val="left"/>
        <w:tblInd w:w="0" w:type="dxa"/>
        <w:tblLayout w:type="fixed"/>
        <w:tblCellMar>
          <w:top w:w="0" w:type="dxa"/>
          <w:left w:w="0" w:type="dxa"/>
          <w:bottom w:w="0" w:type="dxa"/>
          <w:right w:w="0" w:type="dxa"/>
        </w:tblCellMar>
      </w:tblPr>
      <w:tblGrid>
        <w:gridCol w:w="75"/>
        <w:gridCol w:w="230"/>
        <w:gridCol w:w="945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sz w:val="20"/>
              </w:rPr>
            </w:pPr>
            <w:r>
              <w:rPr>
                <w:sz w:val="20"/>
              </w:rPr>
              <w:t>(c)</w:t>
            </w:r>
          </w:p>
        </w:tc>
        <w:tc>
          <w:tcPr>
            <w:tcW w:w="9455" w:type="dxa"/>
            <w:tcBorders/>
            <w:vAlign w:val="center"/>
          </w:tcPr>
          <w:p>
            <w:pPr>
              <w:pStyle w:val="TableContents"/>
              <w:bidi w:val="0"/>
              <w:spacing w:before="0" w:after="283"/>
              <w:jc w:val="both"/>
              <w:rPr>
                <w:sz w:val="20"/>
              </w:rPr>
            </w:pPr>
            <w:r>
              <w:rPr>
                <w:sz w:val="20"/>
              </w:rPr>
              <w:t>convert all or any of our paid up shares into stock, and reconvert that stock into paid up shares of any denomination;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both"/>
              <w:rPr>
                <w:sz w:val="20"/>
              </w:rPr>
            </w:pPr>
            <w:r>
              <w:rPr>
                <w:sz w:val="20"/>
              </w:rPr>
              <w:t>(d)</w:t>
            </w:r>
          </w:p>
        </w:tc>
        <w:tc>
          <w:tcPr>
            <w:tcW w:w="9923" w:type="dxa"/>
            <w:tcBorders/>
            <w:vAlign w:val="center"/>
          </w:tcPr>
          <w:p>
            <w:pPr>
              <w:pStyle w:val="TableContents"/>
              <w:bidi w:val="0"/>
              <w:spacing w:before="0" w:after="283"/>
              <w:jc w:val="both"/>
              <w:rPr>
                <w:sz w:val="20"/>
              </w:rPr>
            </w:pPr>
            <w:r>
              <w:rPr>
                <w:sz w:val="20"/>
              </w:rPr>
              <w:t>sub-divide our shares or any of them into shares of an amount smaller than that fixed, so, however, that in the sub-division, the proportion between the amount paid and the amount, if any, unpaid on each reduced share shall be the same as it was in case of the share from which the reduced share is derived;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0"/>
        <w:gridCol w:w="9940"/>
      </w:tblGrid>
      <w:tr>
        <w:trPr/>
        <w:tc>
          <w:tcPr>
            <w:tcW w:w="75"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both"/>
              <w:rPr>
                <w:sz w:val="20"/>
              </w:rPr>
            </w:pPr>
            <w:r>
              <w:rPr>
                <w:sz w:val="20"/>
              </w:rPr>
              <w:t>(e)</w:t>
            </w:r>
          </w:p>
        </w:tc>
        <w:tc>
          <w:tcPr>
            <w:tcW w:w="9940" w:type="dxa"/>
            <w:tcBorders/>
            <w:vAlign w:val="center"/>
          </w:tcPr>
          <w:p>
            <w:pPr>
              <w:pStyle w:val="TableContents"/>
              <w:bidi w:val="0"/>
              <w:spacing w:before="0" w:after="283"/>
              <w:jc w:val="both"/>
              <w:rPr>
                <w:sz w:val="20"/>
              </w:rPr>
            </w:pPr>
            <w:r>
              <w:rPr>
                <w:sz w:val="20"/>
              </w:rPr>
              <w:t>cancel shares which, at the date of the passing of that ordinary resolution, have not been taken or agreed to be taken by any person and diminish the amount of our share capital by the amount of the shares so cancelled or, in the case of shares without nominal par value, diminish the number of shares into which our capital is divided.</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Cayman Companies Act and to any rights for the time being conferred on the shareholders holding a particular class of shares, we may, by special resolution, reduce our share capital in any way.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 (Item 12.A of Form 20-F)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 and Rights (Item 12.B of Form 20-F)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Securities (Item 12.C of Form 20-F)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American Depositary Shares (Items 12.D.1 and 12.D.2 of Form 20-F)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6" w:name="ea028662601ex8-1.htm"/>
      <w:bookmarkStart w:id="47" w:name="ksea028662601ex81"/>
      <w:bookmarkEnd w:id="46"/>
      <w:bookmarkEnd w:id="47"/>
      <w:r>
        <w:rPr>
          <w:rFonts w:ascii="Times New Roman;Times;Serif" w:hAnsi="Times New Roman;Times;Serif"/>
          <w:b/>
          <w:i w:val="false"/>
          <w:caps w:val="false"/>
          <w:smallCaps w:val="false"/>
          <w:sz w:val="20"/>
        </w:rPr>
        <w:t>Exhibit 8.1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 of the Registrant</w:t>
      </w:r>
    </w:p>
    <w:p>
      <w:pPr>
        <w:pStyle w:val="TextBody"/>
        <w:bidi w:val="0"/>
        <w:spacing w:before="0" w:after="0"/>
        <w:ind w:left="0" w:right="0" w:hanging="0"/>
        <w:jc w:val="center"/>
        <w:rPr>
          <w:caps w:val="false"/>
          <w:smallCaps w:val="false"/>
        </w:rPr>
      </w:pPr>
      <w:r>
        <w:rPr>
          <w:caps w:val="false"/>
          <w:smallCaps w:val="false"/>
        </w:rPr>
        <w:t> </w:t>
      </w:r>
    </w:p>
    <w:tbl>
      <w:tblPr>
        <w:tblW w:w="6385" w:type="dxa"/>
        <w:jc w:val="left"/>
        <w:tblInd w:w="0" w:type="dxa"/>
        <w:tblLayout w:type="fixed"/>
        <w:tblCellMar>
          <w:top w:w="0" w:type="dxa"/>
          <w:left w:w="0" w:type="dxa"/>
          <w:bottom w:w="28" w:type="dxa"/>
          <w:right w:w="0" w:type="dxa"/>
        </w:tblCellMar>
      </w:tblPr>
      <w:tblGrid>
        <w:gridCol w:w="4010"/>
        <w:gridCol w:w="60"/>
        <w:gridCol w:w="2315"/>
      </w:tblGrid>
      <w:tr>
        <w:trPr/>
        <w:tc>
          <w:tcPr>
            <w:tcW w:w="4010" w:type="dxa"/>
            <w:tcBorders>
              <w:bottom w:val="single" w:sz="12" w:space="0" w:color="000000"/>
            </w:tcBorders>
            <w:vAlign w:val="center"/>
          </w:tcPr>
          <w:p>
            <w:pPr>
              <w:pStyle w:val="TableContents"/>
              <w:bidi w:val="0"/>
              <w:spacing w:before="0" w:after="283"/>
              <w:jc w:val="left"/>
              <w:rPr>
                <w:b/>
              </w:rPr>
            </w:pPr>
            <w:r>
              <w:rPr>
                <w:b/>
              </w:rPr>
              <w:t>Subsidiaries</w:t>
            </w:r>
          </w:p>
        </w:tc>
        <w:tc>
          <w:tcPr>
            <w:tcW w:w="60" w:type="dxa"/>
            <w:tcBorders/>
            <w:tcMar>
              <w:bottom w:w="0" w:type="dxa"/>
            </w:tcMar>
            <w:vAlign w:val="center"/>
          </w:tcPr>
          <w:p>
            <w:pPr>
              <w:pStyle w:val="TableContents"/>
              <w:bidi w:val="0"/>
              <w:spacing w:before="0" w:after="283"/>
              <w:jc w:val="left"/>
              <w:rPr/>
            </w:pPr>
            <w:r>
              <w:rPr/>
              <w:t> </w:t>
            </w:r>
          </w:p>
        </w:tc>
        <w:tc>
          <w:tcPr>
            <w:tcW w:w="2315" w:type="dxa"/>
            <w:tcBorders>
              <w:bottom w:val="single" w:sz="12" w:space="0" w:color="000000"/>
            </w:tcBorders>
            <w:vAlign w:val="center"/>
          </w:tcPr>
          <w:p>
            <w:pPr>
              <w:pStyle w:val="TableContents"/>
              <w:bidi w:val="0"/>
              <w:spacing w:before="0" w:after="283"/>
              <w:jc w:val="center"/>
              <w:rPr>
                <w:b/>
              </w:rPr>
            </w:pPr>
            <w:r>
              <w:rPr>
                <w:b/>
              </w:rPr>
              <w:t>Place of Incorporation</w:t>
            </w:r>
          </w:p>
        </w:tc>
      </w:tr>
      <w:tr>
        <w:trPr/>
        <w:tc>
          <w:tcPr>
            <w:tcW w:w="4010" w:type="dxa"/>
            <w:tcBorders/>
            <w:shd w:fill="CCEEFF" w:val="clear"/>
            <w:tcMar>
              <w:bottom w:w="0" w:type="dxa"/>
            </w:tcMar>
            <w:vAlign w:val="center"/>
          </w:tcPr>
          <w:p>
            <w:pPr>
              <w:pStyle w:val="TableContents"/>
              <w:bidi w:val="0"/>
              <w:spacing w:before="0" w:after="283"/>
              <w:jc w:val="left"/>
              <w:rPr/>
            </w:pPr>
            <w:r>
              <w:rPr/>
              <w:t>Dean Global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5" w:type="dxa"/>
            <w:tcBorders/>
            <w:shd w:fill="CCEEFF" w:val="clear"/>
            <w:tcMar>
              <w:bottom w:w="0" w:type="dxa"/>
            </w:tcMar>
            <w:vAlign w:val="center"/>
          </w:tcPr>
          <w:p>
            <w:pPr>
              <w:pStyle w:val="TableContents"/>
              <w:bidi w:val="0"/>
              <w:spacing w:before="0" w:after="283"/>
              <w:jc w:val="center"/>
              <w:rPr/>
            </w:pPr>
            <w:r>
              <w:rPr/>
              <w:t>British Virgin Islands</w:t>
            </w:r>
          </w:p>
        </w:tc>
      </w:tr>
      <w:tr>
        <w:trPr/>
        <w:tc>
          <w:tcPr>
            <w:tcW w:w="4010" w:type="dxa"/>
            <w:tcBorders/>
            <w:shd w:fill="FFFFFF" w:val="clear"/>
            <w:tcMar>
              <w:bottom w:w="0" w:type="dxa"/>
            </w:tcMar>
            <w:vAlign w:val="center"/>
          </w:tcPr>
          <w:p>
            <w:pPr>
              <w:pStyle w:val="TableContents"/>
              <w:bidi w:val="0"/>
              <w:spacing w:before="0" w:after="283"/>
              <w:jc w:val="left"/>
              <w:rPr/>
            </w:pPr>
            <w:r>
              <w:rPr/>
              <w:t>Jenyd Holdings Limited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15" w:type="dxa"/>
            <w:tcBorders/>
            <w:shd w:fill="FFFFFF" w:val="clear"/>
            <w:tcMar>
              <w:bottom w:w="0" w:type="dxa"/>
            </w:tcMar>
            <w:vAlign w:val="center"/>
          </w:tcPr>
          <w:p>
            <w:pPr>
              <w:pStyle w:val="TableContents"/>
              <w:bidi w:val="0"/>
              <w:spacing w:before="0" w:after="283"/>
              <w:jc w:val="center"/>
              <w:rPr/>
            </w:pPr>
            <w:r>
              <w:rPr/>
              <w:t>Hong Kong</w:t>
            </w:r>
          </w:p>
        </w:tc>
      </w:tr>
      <w:tr>
        <w:trPr/>
        <w:tc>
          <w:tcPr>
            <w:tcW w:w="4010" w:type="dxa"/>
            <w:tcBorders/>
            <w:shd w:fill="CCEEFF" w:val="clear"/>
            <w:tcMar>
              <w:bottom w:w="0" w:type="dxa"/>
            </w:tcMar>
            <w:vAlign w:val="center"/>
          </w:tcPr>
          <w:p>
            <w:pPr>
              <w:pStyle w:val="TableContents"/>
              <w:bidi w:val="0"/>
              <w:spacing w:before="0" w:after="283"/>
              <w:jc w:val="left"/>
              <w:rPr/>
            </w:pPr>
            <w:r>
              <w:rPr/>
              <w:t>Xinjiang United Family Trading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5" w:type="dxa"/>
            <w:tcBorders/>
            <w:shd w:fill="CCEEFF" w:val="clear"/>
            <w:tcMar>
              <w:bottom w:w="0" w:type="dxa"/>
            </w:tcMar>
            <w:vAlign w:val="center"/>
          </w:tcPr>
          <w:p>
            <w:pPr>
              <w:pStyle w:val="TableContents"/>
              <w:bidi w:val="0"/>
              <w:spacing w:before="0" w:after="283"/>
              <w:jc w:val="center"/>
              <w:rPr/>
            </w:pPr>
            <w:r>
              <w:rPr/>
              <w:t>PRC</w:t>
            </w:r>
          </w:p>
        </w:tc>
      </w:tr>
      <w:tr>
        <w:trPr/>
        <w:tc>
          <w:tcPr>
            <w:tcW w:w="4010" w:type="dxa"/>
            <w:tcBorders/>
            <w:shd w:fill="FFFFFF" w:val="clear"/>
            <w:tcMar>
              <w:bottom w:w="0" w:type="dxa"/>
            </w:tcMar>
            <w:vAlign w:val="center"/>
          </w:tcPr>
          <w:p>
            <w:pPr>
              <w:pStyle w:val="TableContents"/>
              <w:bidi w:val="0"/>
              <w:spacing w:before="0" w:after="283"/>
              <w:jc w:val="left"/>
              <w:rPr/>
            </w:pPr>
            <w:r>
              <w:rPr/>
              <w:t>George Chanson (NY) Corp.</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15" w:type="dxa"/>
            <w:tcBorders/>
            <w:shd w:fill="FFFFFF" w:val="clear"/>
            <w:tcMar>
              <w:bottom w:w="0" w:type="dxa"/>
            </w:tcMar>
            <w:vAlign w:val="center"/>
          </w:tcPr>
          <w:p>
            <w:pPr>
              <w:pStyle w:val="TableContents"/>
              <w:bidi w:val="0"/>
              <w:spacing w:before="0" w:after="283"/>
              <w:jc w:val="center"/>
              <w:rPr/>
            </w:pPr>
            <w:r>
              <w:rPr/>
              <w:t>New York</w:t>
            </w:r>
          </w:p>
        </w:tc>
      </w:tr>
      <w:tr>
        <w:trPr/>
        <w:tc>
          <w:tcPr>
            <w:tcW w:w="4010" w:type="dxa"/>
            <w:tcBorders/>
            <w:shd w:fill="CCEEFF" w:val="clear"/>
            <w:tcMar>
              <w:bottom w:w="0" w:type="dxa"/>
            </w:tcMar>
            <w:vAlign w:val="center"/>
          </w:tcPr>
          <w:p>
            <w:pPr>
              <w:pStyle w:val="TableContents"/>
              <w:bidi w:val="0"/>
              <w:spacing w:before="0" w:after="283"/>
              <w:jc w:val="left"/>
              <w:rPr/>
            </w:pPr>
            <w:r>
              <w:rPr/>
              <w:t>Chanson 23rd Street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5" w:type="dxa"/>
            <w:tcBorders/>
            <w:shd w:fill="CCEEFF" w:val="clear"/>
            <w:tcMar>
              <w:bottom w:w="0" w:type="dxa"/>
            </w:tcMar>
            <w:vAlign w:val="center"/>
          </w:tcPr>
          <w:p>
            <w:pPr>
              <w:pStyle w:val="TableContents"/>
              <w:bidi w:val="0"/>
              <w:spacing w:before="0" w:after="283"/>
              <w:jc w:val="center"/>
              <w:rPr/>
            </w:pPr>
            <w:r>
              <w:rPr/>
              <w:t>New York</w:t>
            </w:r>
          </w:p>
        </w:tc>
      </w:tr>
      <w:tr>
        <w:trPr/>
        <w:tc>
          <w:tcPr>
            <w:tcW w:w="4010" w:type="dxa"/>
            <w:tcBorders/>
            <w:shd w:fill="FFFFFF" w:val="clear"/>
            <w:tcMar>
              <w:bottom w:w="0" w:type="dxa"/>
            </w:tcMar>
            <w:vAlign w:val="center"/>
          </w:tcPr>
          <w:p>
            <w:pPr>
              <w:pStyle w:val="TableContents"/>
              <w:bidi w:val="0"/>
              <w:spacing w:before="0" w:after="283"/>
              <w:jc w:val="left"/>
              <w:rPr/>
            </w:pPr>
            <w:r>
              <w:rPr/>
              <w:t>Chanson 1293 3rd Ave LLC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15" w:type="dxa"/>
            <w:tcBorders/>
            <w:shd w:fill="FFFFFF" w:val="clear"/>
            <w:tcMar>
              <w:bottom w:w="0" w:type="dxa"/>
            </w:tcMar>
            <w:vAlign w:val="center"/>
          </w:tcPr>
          <w:p>
            <w:pPr>
              <w:pStyle w:val="TableContents"/>
              <w:bidi w:val="0"/>
              <w:spacing w:before="0" w:after="283"/>
              <w:jc w:val="center"/>
              <w:rPr/>
            </w:pPr>
            <w:r>
              <w:rPr/>
              <w:t>New York</w:t>
            </w:r>
          </w:p>
        </w:tc>
      </w:tr>
      <w:tr>
        <w:trPr/>
        <w:tc>
          <w:tcPr>
            <w:tcW w:w="4010" w:type="dxa"/>
            <w:tcBorders/>
            <w:shd w:fill="CCEEFF" w:val="clear"/>
            <w:tcMar>
              <w:bottom w:w="0" w:type="dxa"/>
            </w:tcMar>
            <w:vAlign w:val="center"/>
          </w:tcPr>
          <w:p>
            <w:pPr>
              <w:pStyle w:val="TableContents"/>
              <w:bidi w:val="0"/>
              <w:spacing w:before="0" w:after="283"/>
              <w:jc w:val="left"/>
              <w:rPr/>
            </w:pPr>
            <w:r>
              <w:rPr/>
              <w:t>Chanson 2040 Broadway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5" w:type="dxa"/>
            <w:tcBorders/>
            <w:shd w:fill="CCEEFF" w:val="clear"/>
            <w:tcMar>
              <w:bottom w:w="0" w:type="dxa"/>
            </w:tcMar>
            <w:vAlign w:val="center"/>
          </w:tcPr>
          <w:p>
            <w:pPr>
              <w:pStyle w:val="TableContents"/>
              <w:bidi w:val="0"/>
              <w:spacing w:before="0" w:after="283"/>
              <w:jc w:val="center"/>
              <w:rPr/>
            </w:pPr>
            <w:r>
              <w:rPr/>
              <w:t>New York</w:t>
            </w:r>
          </w:p>
        </w:tc>
      </w:tr>
      <w:tr>
        <w:trPr/>
        <w:tc>
          <w:tcPr>
            <w:tcW w:w="4010" w:type="dxa"/>
            <w:tcBorders/>
            <w:shd w:fill="FFFFFF" w:val="clear"/>
            <w:tcMar>
              <w:bottom w:w="0" w:type="dxa"/>
            </w:tcMar>
            <w:vAlign w:val="center"/>
          </w:tcPr>
          <w:p>
            <w:pPr>
              <w:pStyle w:val="TableContents"/>
              <w:bidi w:val="0"/>
              <w:spacing w:before="0" w:after="283"/>
              <w:jc w:val="left"/>
              <w:rPr/>
            </w:pPr>
            <w:r>
              <w:rPr/>
              <w:t>Chanson Management LLC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15" w:type="dxa"/>
            <w:tcBorders/>
            <w:shd w:fill="FFFFFF" w:val="clear"/>
            <w:tcMar>
              <w:bottom w:w="0" w:type="dxa"/>
            </w:tcMar>
            <w:vAlign w:val="center"/>
          </w:tcPr>
          <w:p>
            <w:pPr>
              <w:pStyle w:val="TableContents"/>
              <w:bidi w:val="0"/>
              <w:spacing w:before="0" w:after="283"/>
              <w:jc w:val="center"/>
              <w:rPr/>
            </w:pPr>
            <w:r>
              <w:rPr/>
              <w:t>Delaware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7762"/>
        <w:gridCol w:w="60"/>
        <w:gridCol w:w="2108"/>
      </w:tblGrid>
      <w:tr>
        <w:trPr/>
        <w:tc>
          <w:tcPr>
            <w:tcW w:w="275" w:type="dxa"/>
            <w:tcBorders/>
            <w:vAlign w:val="center"/>
          </w:tcPr>
          <w:p>
            <w:pPr>
              <w:pStyle w:val="TableContents"/>
              <w:bidi w:val="0"/>
              <w:spacing w:before="0" w:after="283"/>
              <w:jc w:val="center"/>
              <w:rPr/>
            </w:pPr>
            <w:r>
              <w:rPr/>
              <w:t> </w:t>
            </w:r>
          </w:p>
        </w:tc>
        <w:tc>
          <w:tcPr>
            <w:tcW w:w="7762" w:type="dxa"/>
            <w:tcBorders>
              <w:bottom w:val="single" w:sz="12" w:space="0" w:color="000000"/>
            </w:tcBorders>
            <w:tcMar>
              <w:bottom w:w="28" w:type="dxa"/>
            </w:tcMar>
            <w:vAlign w:val="center"/>
          </w:tcPr>
          <w:p>
            <w:pPr>
              <w:pStyle w:val="TableContents"/>
              <w:bidi w:val="0"/>
              <w:spacing w:before="0" w:after="283"/>
              <w:jc w:val="center"/>
              <w:rPr>
                <w:b/>
              </w:rPr>
            </w:pPr>
            <w:r>
              <w:rPr>
                <w:b/>
              </w:rPr>
              <w:t>Variable Interest Entities</w:t>
            </w:r>
          </w:p>
        </w:tc>
        <w:tc>
          <w:tcPr>
            <w:tcW w:w="60" w:type="dxa"/>
            <w:tcBorders/>
            <w:vAlign w:val="center"/>
          </w:tcPr>
          <w:p>
            <w:pPr>
              <w:pStyle w:val="TableContents"/>
              <w:bidi w:val="0"/>
              <w:spacing w:before="0" w:after="283"/>
              <w:jc w:val="left"/>
              <w:rPr/>
            </w:pPr>
            <w:r>
              <w:rPr/>
              <w:t> </w:t>
            </w:r>
          </w:p>
        </w:tc>
        <w:tc>
          <w:tcPr>
            <w:tcW w:w="2108" w:type="dxa"/>
            <w:tcBorders>
              <w:bottom w:val="single" w:sz="12" w:space="0" w:color="000000"/>
            </w:tcBorders>
            <w:tcMar>
              <w:bottom w:w="28" w:type="dxa"/>
            </w:tcMar>
            <w:vAlign w:val="center"/>
          </w:tcPr>
          <w:p>
            <w:pPr>
              <w:pStyle w:val="TableContents"/>
              <w:bidi w:val="0"/>
              <w:spacing w:before="0" w:after="283"/>
              <w:jc w:val="center"/>
              <w:rPr>
                <w:b/>
              </w:rPr>
            </w:pPr>
            <w:r>
              <w:rPr>
                <w:b/>
              </w:rPr>
              <w:t>Place of Incorporation</w:t>
            </w:r>
          </w:p>
        </w:tc>
      </w:tr>
      <w:tr>
        <w:trPr/>
        <w:tc>
          <w:tcPr>
            <w:tcW w:w="275" w:type="dxa"/>
            <w:tcBorders/>
            <w:shd w:fill="CCEEFF" w:val="clear"/>
            <w:vAlign w:val="center"/>
          </w:tcPr>
          <w:p>
            <w:pPr>
              <w:pStyle w:val="TableContents"/>
              <w:bidi w:val="0"/>
              <w:spacing w:before="0" w:after="283"/>
              <w:jc w:val="left"/>
              <w:rPr/>
            </w:pPr>
            <w:r>
              <w:rPr/>
              <w:t>1</w:t>
            </w:r>
          </w:p>
        </w:tc>
        <w:tc>
          <w:tcPr>
            <w:tcW w:w="7762" w:type="dxa"/>
            <w:tcBorders/>
            <w:shd w:fill="CCEEFF" w:val="clear"/>
            <w:vAlign w:val="center"/>
          </w:tcPr>
          <w:p>
            <w:pPr>
              <w:pStyle w:val="TableContents"/>
              <w:bidi w:val="0"/>
              <w:spacing w:before="0" w:after="283"/>
              <w:jc w:val="left"/>
              <w:rPr/>
            </w:pPr>
            <w:r>
              <w:rPr/>
              <w:t>Tianshan District Minzhu Rd. George Chanson Bakery</w:t>
            </w:r>
          </w:p>
        </w:tc>
        <w:tc>
          <w:tcPr>
            <w:tcW w:w="60" w:type="dxa"/>
            <w:tcBorders/>
            <w:shd w:fill="CCEEFF" w:val="clear"/>
            <w:vAlign w:val="center"/>
          </w:tcPr>
          <w:p>
            <w:pPr>
              <w:pStyle w:val="TableContents"/>
              <w:bidi w:val="0"/>
              <w:spacing w:before="0" w:after="283"/>
              <w:jc w:val="left"/>
              <w:rPr/>
            </w:pPr>
            <w:r>
              <w:rPr/>
              <w:t> </w:t>
            </w:r>
          </w:p>
        </w:tc>
        <w:tc>
          <w:tcPr>
            <w:tcW w:w="2108" w:type="dxa"/>
            <w:tcBorders/>
            <w:shd w:fill="CCEEFF" w:val="clear"/>
            <w:vAlign w:val="center"/>
          </w:tcPr>
          <w:p>
            <w:pPr>
              <w:pStyle w:val="TableContents"/>
              <w:bidi w:val="0"/>
              <w:spacing w:before="0" w:after="283"/>
              <w:jc w:val="center"/>
              <w:rPr/>
            </w:pPr>
            <w:r>
              <w:rPr/>
              <w:t>PRC</w:t>
            </w:r>
          </w:p>
        </w:tc>
      </w:tr>
      <w:tr>
        <w:trPr/>
        <w:tc>
          <w:tcPr>
            <w:tcW w:w="275" w:type="dxa"/>
            <w:tcBorders/>
            <w:shd w:fill="FFFFFF" w:val="clear"/>
            <w:vAlign w:val="center"/>
          </w:tcPr>
          <w:p>
            <w:pPr>
              <w:pStyle w:val="TableContents"/>
              <w:bidi w:val="0"/>
              <w:spacing w:before="0" w:after="283"/>
              <w:jc w:val="left"/>
              <w:rPr/>
            </w:pPr>
            <w:r>
              <w:rPr/>
              <w:t> </w:t>
            </w:r>
          </w:p>
        </w:tc>
        <w:tc>
          <w:tcPr>
            <w:tcW w:w="77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8" w:type="dxa"/>
            <w:tcBorders/>
            <w:shd w:fill="FFFFFF" w:val="clear"/>
            <w:vAlign w:val="center"/>
          </w:tcPr>
          <w:p>
            <w:pPr>
              <w:pStyle w:val="TableContents"/>
              <w:bidi w:val="0"/>
              <w:spacing w:before="0" w:after="283"/>
              <w:jc w:val="center"/>
              <w:rPr/>
            </w:pPr>
            <w:r>
              <w:rPr/>
              <w:t> </w:t>
            </w:r>
          </w:p>
        </w:tc>
      </w:tr>
      <w:tr>
        <w:trPr/>
        <w:tc>
          <w:tcPr>
            <w:tcW w:w="275" w:type="dxa"/>
            <w:tcBorders/>
            <w:shd w:fill="CCEEFF" w:val="clear"/>
            <w:vAlign w:val="center"/>
          </w:tcPr>
          <w:p>
            <w:pPr>
              <w:pStyle w:val="TableContents"/>
              <w:bidi w:val="0"/>
              <w:spacing w:before="0" w:after="283"/>
              <w:jc w:val="left"/>
              <w:rPr/>
            </w:pPr>
            <w:r>
              <w:rPr/>
              <w:t>2</w:t>
            </w:r>
          </w:p>
        </w:tc>
        <w:tc>
          <w:tcPr>
            <w:tcW w:w="7762" w:type="dxa"/>
            <w:tcBorders/>
            <w:shd w:fill="CCEEFF" w:val="clear"/>
            <w:vAlign w:val="center"/>
          </w:tcPr>
          <w:p>
            <w:pPr>
              <w:pStyle w:val="TableContents"/>
              <w:bidi w:val="0"/>
              <w:spacing w:before="0" w:after="283"/>
              <w:jc w:val="left"/>
              <w:rPr/>
            </w:pPr>
            <w:r>
              <w:rPr/>
              <w:t>Tianshan District Xinmin Rd. George Chanson Bakery</w:t>
            </w:r>
          </w:p>
        </w:tc>
        <w:tc>
          <w:tcPr>
            <w:tcW w:w="60" w:type="dxa"/>
            <w:tcBorders/>
            <w:shd w:fill="CCEEFF" w:val="clear"/>
            <w:vAlign w:val="center"/>
          </w:tcPr>
          <w:p>
            <w:pPr>
              <w:pStyle w:val="TableContents"/>
              <w:bidi w:val="0"/>
              <w:spacing w:before="0" w:after="283"/>
              <w:jc w:val="left"/>
              <w:rPr/>
            </w:pPr>
            <w:r>
              <w:rPr/>
              <w:t> </w:t>
            </w:r>
          </w:p>
        </w:tc>
        <w:tc>
          <w:tcPr>
            <w:tcW w:w="2108" w:type="dxa"/>
            <w:tcBorders/>
            <w:shd w:fill="CCEEFF" w:val="clear"/>
            <w:vAlign w:val="center"/>
          </w:tcPr>
          <w:p>
            <w:pPr>
              <w:pStyle w:val="TableContents"/>
              <w:bidi w:val="0"/>
              <w:spacing w:before="0" w:after="283"/>
              <w:jc w:val="center"/>
              <w:rPr/>
            </w:pPr>
            <w:r>
              <w:rPr/>
              <w:t>PRC</w:t>
            </w:r>
          </w:p>
        </w:tc>
      </w:tr>
      <w:tr>
        <w:trPr/>
        <w:tc>
          <w:tcPr>
            <w:tcW w:w="275" w:type="dxa"/>
            <w:tcBorders/>
            <w:shd w:fill="FFFFFF" w:val="clear"/>
            <w:vAlign w:val="center"/>
          </w:tcPr>
          <w:p>
            <w:pPr>
              <w:pStyle w:val="TableContents"/>
              <w:bidi w:val="0"/>
              <w:spacing w:before="0" w:after="283"/>
              <w:jc w:val="left"/>
              <w:rPr/>
            </w:pPr>
            <w:r>
              <w:rPr/>
              <w:t> </w:t>
            </w:r>
          </w:p>
        </w:tc>
        <w:tc>
          <w:tcPr>
            <w:tcW w:w="77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8" w:type="dxa"/>
            <w:tcBorders/>
            <w:shd w:fill="FFFFFF" w:val="clear"/>
            <w:vAlign w:val="center"/>
          </w:tcPr>
          <w:p>
            <w:pPr>
              <w:pStyle w:val="TableContents"/>
              <w:bidi w:val="0"/>
              <w:spacing w:before="0" w:after="283"/>
              <w:jc w:val="center"/>
              <w:rPr/>
            </w:pPr>
            <w:r>
              <w:rPr/>
              <w:t> </w:t>
            </w:r>
          </w:p>
        </w:tc>
      </w:tr>
      <w:tr>
        <w:trPr/>
        <w:tc>
          <w:tcPr>
            <w:tcW w:w="275" w:type="dxa"/>
            <w:tcBorders/>
            <w:shd w:fill="CCEEFF" w:val="clear"/>
            <w:vAlign w:val="center"/>
          </w:tcPr>
          <w:p>
            <w:pPr>
              <w:pStyle w:val="TableContents"/>
              <w:bidi w:val="0"/>
              <w:spacing w:before="0" w:after="283"/>
              <w:jc w:val="left"/>
              <w:rPr/>
            </w:pPr>
            <w:r>
              <w:rPr/>
              <w:t>3</w:t>
            </w:r>
          </w:p>
        </w:tc>
        <w:tc>
          <w:tcPr>
            <w:tcW w:w="7762" w:type="dxa"/>
            <w:tcBorders/>
            <w:shd w:fill="CCEEFF" w:val="clear"/>
            <w:vAlign w:val="center"/>
          </w:tcPr>
          <w:p>
            <w:pPr>
              <w:pStyle w:val="TableContents"/>
              <w:bidi w:val="0"/>
              <w:spacing w:before="0" w:after="283"/>
              <w:jc w:val="left"/>
              <w:rPr/>
            </w:pPr>
            <w:r>
              <w:rPr/>
              <w:t>Tianshan District Jiefang North Rd. George Chanson Bakery</w:t>
            </w:r>
          </w:p>
        </w:tc>
        <w:tc>
          <w:tcPr>
            <w:tcW w:w="60" w:type="dxa"/>
            <w:tcBorders/>
            <w:shd w:fill="CCEEFF" w:val="clear"/>
            <w:vAlign w:val="center"/>
          </w:tcPr>
          <w:p>
            <w:pPr>
              <w:pStyle w:val="TableContents"/>
              <w:bidi w:val="0"/>
              <w:spacing w:before="0" w:after="283"/>
              <w:jc w:val="left"/>
              <w:rPr/>
            </w:pPr>
            <w:r>
              <w:rPr/>
              <w:t> </w:t>
            </w:r>
          </w:p>
        </w:tc>
        <w:tc>
          <w:tcPr>
            <w:tcW w:w="2108" w:type="dxa"/>
            <w:tcBorders/>
            <w:shd w:fill="CCEEFF" w:val="clear"/>
            <w:vAlign w:val="center"/>
          </w:tcPr>
          <w:p>
            <w:pPr>
              <w:pStyle w:val="TableContents"/>
              <w:bidi w:val="0"/>
              <w:spacing w:before="0" w:after="283"/>
              <w:jc w:val="center"/>
              <w:rPr/>
            </w:pPr>
            <w:r>
              <w:rPr/>
              <w:t>PRC</w:t>
            </w:r>
          </w:p>
        </w:tc>
      </w:tr>
      <w:tr>
        <w:trPr/>
        <w:tc>
          <w:tcPr>
            <w:tcW w:w="275" w:type="dxa"/>
            <w:tcBorders/>
            <w:shd w:fill="FFFFFF" w:val="clear"/>
            <w:vAlign w:val="center"/>
          </w:tcPr>
          <w:p>
            <w:pPr>
              <w:pStyle w:val="TableContents"/>
              <w:bidi w:val="0"/>
              <w:spacing w:before="0" w:after="283"/>
              <w:jc w:val="left"/>
              <w:rPr/>
            </w:pPr>
            <w:r>
              <w:rPr/>
              <w:t> </w:t>
            </w:r>
          </w:p>
        </w:tc>
        <w:tc>
          <w:tcPr>
            <w:tcW w:w="77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8" w:type="dxa"/>
            <w:tcBorders/>
            <w:shd w:fill="FFFFFF" w:val="clear"/>
            <w:vAlign w:val="center"/>
          </w:tcPr>
          <w:p>
            <w:pPr>
              <w:pStyle w:val="TableContents"/>
              <w:bidi w:val="0"/>
              <w:spacing w:before="0" w:after="283"/>
              <w:jc w:val="center"/>
              <w:rPr/>
            </w:pPr>
            <w:r>
              <w:rPr/>
              <w:t> </w:t>
            </w:r>
          </w:p>
        </w:tc>
      </w:tr>
      <w:tr>
        <w:trPr/>
        <w:tc>
          <w:tcPr>
            <w:tcW w:w="275" w:type="dxa"/>
            <w:tcBorders/>
            <w:shd w:fill="CCEEFF" w:val="clear"/>
            <w:vAlign w:val="center"/>
          </w:tcPr>
          <w:p>
            <w:pPr>
              <w:pStyle w:val="TableContents"/>
              <w:bidi w:val="0"/>
              <w:spacing w:before="0" w:after="283"/>
              <w:jc w:val="left"/>
              <w:rPr/>
            </w:pPr>
            <w:r>
              <w:rPr/>
              <w:t>4</w:t>
            </w:r>
          </w:p>
        </w:tc>
        <w:tc>
          <w:tcPr>
            <w:tcW w:w="7762" w:type="dxa"/>
            <w:tcBorders/>
            <w:shd w:fill="CCEEFF" w:val="clear"/>
            <w:vAlign w:val="center"/>
          </w:tcPr>
          <w:p>
            <w:pPr>
              <w:pStyle w:val="TableContents"/>
              <w:bidi w:val="0"/>
              <w:spacing w:before="0" w:after="283"/>
              <w:jc w:val="left"/>
              <w:rPr/>
            </w:pPr>
            <w:r>
              <w:rPr/>
              <w:t>Tianshan District Xinhua North Rd. George Chanson Bakery</w:t>
            </w:r>
          </w:p>
        </w:tc>
        <w:tc>
          <w:tcPr>
            <w:tcW w:w="60" w:type="dxa"/>
            <w:tcBorders/>
            <w:shd w:fill="CCEEFF" w:val="clear"/>
            <w:vAlign w:val="center"/>
          </w:tcPr>
          <w:p>
            <w:pPr>
              <w:pStyle w:val="TableContents"/>
              <w:bidi w:val="0"/>
              <w:spacing w:before="0" w:after="283"/>
              <w:jc w:val="left"/>
              <w:rPr/>
            </w:pPr>
            <w:r>
              <w:rPr/>
              <w:t> </w:t>
            </w:r>
          </w:p>
        </w:tc>
        <w:tc>
          <w:tcPr>
            <w:tcW w:w="2108" w:type="dxa"/>
            <w:tcBorders/>
            <w:shd w:fill="CCEEFF" w:val="clear"/>
            <w:vAlign w:val="center"/>
          </w:tcPr>
          <w:p>
            <w:pPr>
              <w:pStyle w:val="TableContents"/>
              <w:bidi w:val="0"/>
              <w:spacing w:before="0" w:after="283"/>
              <w:jc w:val="center"/>
              <w:rPr/>
            </w:pPr>
            <w:r>
              <w:rPr/>
              <w:t>PRC</w:t>
            </w:r>
          </w:p>
        </w:tc>
      </w:tr>
      <w:tr>
        <w:trPr/>
        <w:tc>
          <w:tcPr>
            <w:tcW w:w="275" w:type="dxa"/>
            <w:tcBorders/>
            <w:shd w:fill="FFFFFF" w:val="clear"/>
            <w:vAlign w:val="center"/>
          </w:tcPr>
          <w:p>
            <w:pPr>
              <w:pStyle w:val="TableContents"/>
              <w:bidi w:val="0"/>
              <w:spacing w:before="0" w:after="283"/>
              <w:jc w:val="left"/>
              <w:rPr/>
            </w:pPr>
            <w:r>
              <w:rPr/>
              <w:t> </w:t>
            </w:r>
          </w:p>
        </w:tc>
        <w:tc>
          <w:tcPr>
            <w:tcW w:w="77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8" w:type="dxa"/>
            <w:tcBorders/>
            <w:shd w:fill="FFFFFF" w:val="clear"/>
            <w:vAlign w:val="center"/>
          </w:tcPr>
          <w:p>
            <w:pPr>
              <w:pStyle w:val="TableContents"/>
              <w:bidi w:val="0"/>
              <w:spacing w:before="0" w:after="283"/>
              <w:jc w:val="center"/>
              <w:rPr/>
            </w:pPr>
            <w:r>
              <w:rPr/>
              <w:t> </w:t>
            </w:r>
          </w:p>
        </w:tc>
      </w:tr>
      <w:tr>
        <w:trPr/>
        <w:tc>
          <w:tcPr>
            <w:tcW w:w="275" w:type="dxa"/>
            <w:tcBorders/>
            <w:shd w:fill="CCEEFF" w:val="clear"/>
            <w:vAlign w:val="center"/>
          </w:tcPr>
          <w:p>
            <w:pPr>
              <w:pStyle w:val="TableContents"/>
              <w:bidi w:val="0"/>
              <w:spacing w:before="0" w:after="283"/>
              <w:jc w:val="left"/>
              <w:rPr/>
            </w:pPr>
            <w:r>
              <w:rPr/>
              <w:t>5</w:t>
            </w:r>
          </w:p>
        </w:tc>
        <w:tc>
          <w:tcPr>
            <w:tcW w:w="7762" w:type="dxa"/>
            <w:tcBorders/>
            <w:shd w:fill="CCEEFF" w:val="clear"/>
            <w:vAlign w:val="center"/>
          </w:tcPr>
          <w:p>
            <w:pPr>
              <w:pStyle w:val="TableContents"/>
              <w:bidi w:val="0"/>
              <w:spacing w:before="0" w:after="283"/>
              <w:jc w:val="left"/>
              <w:rPr/>
            </w:pPr>
            <w:r>
              <w:rPr/>
              <w:t>Xinshi District Changchun South Rd. George Chanson Bakery</w:t>
            </w:r>
          </w:p>
        </w:tc>
        <w:tc>
          <w:tcPr>
            <w:tcW w:w="60" w:type="dxa"/>
            <w:tcBorders/>
            <w:shd w:fill="CCEEFF" w:val="clear"/>
            <w:vAlign w:val="center"/>
          </w:tcPr>
          <w:p>
            <w:pPr>
              <w:pStyle w:val="TableContents"/>
              <w:bidi w:val="0"/>
              <w:spacing w:before="0" w:after="283"/>
              <w:jc w:val="left"/>
              <w:rPr/>
            </w:pPr>
            <w:r>
              <w:rPr/>
              <w:t> </w:t>
            </w:r>
          </w:p>
        </w:tc>
        <w:tc>
          <w:tcPr>
            <w:tcW w:w="2108" w:type="dxa"/>
            <w:tcBorders/>
            <w:shd w:fill="CCEEFF" w:val="clear"/>
            <w:vAlign w:val="center"/>
          </w:tcPr>
          <w:p>
            <w:pPr>
              <w:pStyle w:val="TableContents"/>
              <w:bidi w:val="0"/>
              <w:spacing w:before="0" w:after="283"/>
              <w:jc w:val="center"/>
              <w:rPr/>
            </w:pPr>
            <w:r>
              <w:rPr/>
              <w:t>PRC</w:t>
            </w:r>
          </w:p>
        </w:tc>
      </w:tr>
      <w:tr>
        <w:trPr/>
        <w:tc>
          <w:tcPr>
            <w:tcW w:w="275" w:type="dxa"/>
            <w:tcBorders/>
            <w:shd w:fill="FFFFFF" w:val="clear"/>
            <w:vAlign w:val="center"/>
          </w:tcPr>
          <w:p>
            <w:pPr>
              <w:pStyle w:val="TableContents"/>
              <w:bidi w:val="0"/>
              <w:spacing w:before="0" w:after="283"/>
              <w:jc w:val="left"/>
              <w:rPr/>
            </w:pPr>
            <w:r>
              <w:rPr/>
              <w:t> </w:t>
            </w:r>
          </w:p>
        </w:tc>
        <w:tc>
          <w:tcPr>
            <w:tcW w:w="77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8" w:type="dxa"/>
            <w:tcBorders/>
            <w:shd w:fill="FFFFFF" w:val="clear"/>
            <w:vAlign w:val="center"/>
          </w:tcPr>
          <w:p>
            <w:pPr>
              <w:pStyle w:val="TableContents"/>
              <w:bidi w:val="0"/>
              <w:spacing w:before="0" w:after="283"/>
              <w:jc w:val="center"/>
              <w:rPr/>
            </w:pPr>
            <w:r>
              <w:rPr/>
              <w:t> </w:t>
            </w:r>
          </w:p>
        </w:tc>
      </w:tr>
      <w:tr>
        <w:trPr/>
        <w:tc>
          <w:tcPr>
            <w:tcW w:w="275" w:type="dxa"/>
            <w:tcBorders/>
            <w:shd w:fill="CCEEFF" w:val="clear"/>
            <w:vAlign w:val="center"/>
          </w:tcPr>
          <w:p>
            <w:pPr>
              <w:pStyle w:val="TableContents"/>
              <w:bidi w:val="0"/>
              <w:spacing w:before="0" w:after="283"/>
              <w:jc w:val="left"/>
              <w:rPr/>
            </w:pPr>
            <w:r>
              <w:rPr/>
              <w:t>6</w:t>
            </w:r>
          </w:p>
        </w:tc>
        <w:tc>
          <w:tcPr>
            <w:tcW w:w="7762" w:type="dxa"/>
            <w:tcBorders/>
            <w:shd w:fill="CCEEFF" w:val="clear"/>
            <w:vAlign w:val="center"/>
          </w:tcPr>
          <w:p>
            <w:pPr>
              <w:pStyle w:val="TableContents"/>
              <w:bidi w:val="0"/>
              <w:spacing w:before="0" w:after="283"/>
              <w:jc w:val="left"/>
              <w:rPr/>
            </w:pPr>
            <w:r>
              <w:rPr/>
              <w:t>Urumqi Economics and Technology Development District George Chanson Bakery on Kashi West Rd.</w:t>
            </w:r>
          </w:p>
        </w:tc>
        <w:tc>
          <w:tcPr>
            <w:tcW w:w="60" w:type="dxa"/>
            <w:tcBorders/>
            <w:shd w:fill="CCEEFF" w:val="clear"/>
            <w:vAlign w:val="center"/>
          </w:tcPr>
          <w:p>
            <w:pPr>
              <w:pStyle w:val="TableContents"/>
              <w:bidi w:val="0"/>
              <w:spacing w:before="0" w:after="283"/>
              <w:jc w:val="left"/>
              <w:rPr/>
            </w:pPr>
            <w:r>
              <w:rPr/>
              <w:t> </w:t>
            </w:r>
          </w:p>
        </w:tc>
        <w:tc>
          <w:tcPr>
            <w:tcW w:w="2108" w:type="dxa"/>
            <w:tcBorders/>
            <w:shd w:fill="CCEEFF" w:val="clear"/>
            <w:vAlign w:val="center"/>
          </w:tcPr>
          <w:p>
            <w:pPr>
              <w:pStyle w:val="TableContents"/>
              <w:bidi w:val="0"/>
              <w:spacing w:before="0" w:after="283"/>
              <w:jc w:val="center"/>
              <w:rPr/>
            </w:pPr>
            <w:r>
              <w:rPr/>
              <w:t>PRC</w:t>
            </w:r>
          </w:p>
        </w:tc>
      </w:tr>
      <w:tr>
        <w:trPr/>
        <w:tc>
          <w:tcPr>
            <w:tcW w:w="275" w:type="dxa"/>
            <w:tcBorders/>
            <w:shd w:fill="FFFFFF" w:val="clear"/>
            <w:vAlign w:val="center"/>
          </w:tcPr>
          <w:p>
            <w:pPr>
              <w:pStyle w:val="TableContents"/>
              <w:bidi w:val="0"/>
              <w:spacing w:before="0" w:after="283"/>
              <w:jc w:val="left"/>
              <w:rPr/>
            </w:pPr>
            <w:r>
              <w:rPr/>
              <w:t> </w:t>
            </w:r>
          </w:p>
        </w:tc>
        <w:tc>
          <w:tcPr>
            <w:tcW w:w="77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8" w:type="dxa"/>
            <w:tcBorders/>
            <w:shd w:fill="FFFFFF" w:val="clear"/>
            <w:vAlign w:val="center"/>
          </w:tcPr>
          <w:p>
            <w:pPr>
              <w:pStyle w:val="TableContents"/>
              <w:bidi w:val="0"/>
              <w:spacing w:before="0" w:after="283"/>
              <w:jc w:val="center"/>
              <w:rPr/>
            </w:pPr>
            <w:r>
              <w:rPr/>
              <w:t> </w:t>
            </w:r>
          </w:p>
        </w:tc>
      </w:tr>
      <w:tr>
        <w:trPr/>
        <w:tc>
          <w:tcPr>
            <w:tcW w:w="275" w:type="dxa"/>
            <w:tcBorders/>
            <w:shd w:fill="CCEEFF" w:val="clear"/>
            <w:vAlign w:val="center"/>
          </w:tcPr>
          <w:p>
            <w:pPr>
              <w:pStyle w:val="TableContents"/>
              <w:bidi w:val="0"/>
              <w:spacing w:before="0" w:after="283"/>
              <w:jc w:val="left"/>
              <w:rPr/>
            </w:pPr>
            <w:r>
              <w:rPr/>
              <w:t>7</w:t>
            </w:r>
          </w:p>
        </w:tc>
        <w:tc>
          <w:tcPr>
            <w:tcW w:w="7762" w:type="dxa"/>
            <w:tcBorders/>
            <w:shd w:fill="CCEEFF" w:val="clear"/>
            <w:vAlign w:val="center"/>
          </w:tcPr>
          <w:p>
            <w:pPr>
              <w:pStyle w:val="TableContents"/>
              <w:bidi w:val="0"/>
              <w:spacing w:before="0" w:after="283"/>
              <w:jc w:val="left"/>
              <w:rPr/>
            </w:pPr>
            <w:r>
              <w:rPr/>
              <w:t>Shayibake District Yining Rd.  George Chanson Bakery</w:t>
            </w:r>
          </w:p>
        </w:tc>
        <w:tc>
          <w:tcPr>
            <w:tcW w:w="60" w:type="dxa"/>
            <w:tcBorders/>
            <w:shd w:fill="CCEEFF" w:val="clear"/>
            <w:vAlign w:val="center"/>
          </w:tcPr>
          <w:p>
            <w:pPr>
              <w:pStyle w:val="TableContents"/>
              <w:bidi w:val="0"/>
              <w:spacing w:before="0" w:after="283"/>
              <w:jc w:val="left"/>
              <w:rPr/>
            </w:pPr>
            <w:r>
              <w:rPr/>
              <w:t> </w:t>
            </w:r>
          </w:p>
        </w:tc>
        <w:tc>
          <w:tcPr>
            <w:tcW w:w="2108" w:type="dxa"/>
            <w:tcBorders/>
            <w:shd w:fill="CCEEFF" w:val="clear"/>
            <w:vAlign w:val="center"/>
          </w:tcPr>
          <w:p>
            <w:pPr>
              <w:pStyle w:val="TableContents"/>
              <w:bidi w:val="0"/>
              <w:spacing w:before="0" w:after="283"/>
              <w:jc w:val="center"/>
              <w:rPr/>
            </w:pPr>
            <w:r>
              <w:rPr/>
              <w:t>PRC</w:t>
            </w:r>
          </w:p>
        </w:tc>
      </w:tr>
      <w:tr>
        <w:trPr/>
        <w:tc>
          <w:tcPr>
            <w:tcW w:w="275" w:type="dxa"/>
            <w:tcBorders/>
            <w:shd w:fill="FFFFFF" w:val="clear"/>
            <w:vAlign w:val="center"/>
          </w:tcPr>
          <w:p>
            <w:pPr>
              <w:pStyle w:val="TableContents"/>
              <w:bidi w:val="0"/>
              <w:spacing w:before="0" w:after="283"/>
              <w:jc w:val="left"/>
              <w:rPr/>
            </w:pPr>
            <w:r>
              <w:rPr/>
              <w:t> </w:t>
            </w:r>
          </w:p>
        </w:tc>
        <w:tc>
          <w:tcPr>
            <w:tcW w:w="77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8" w:type="dxa"/>
            <w:tcBorders/>
            <w:shd w:fill="FFFFFF" w:val="clear"/>
            <w:vAlign w:val="center"/>
          </w:tcPr>
          <w:p>
            <w:pPr>
              <w:pStyle w:val="TableContents"/>
              <w:bidi w:val="0"/>
              <w:spacing w:before="0" w:after="283"/>
              <w:jc w:val="center"/>
              <w:rPr/>
            </w:pPr>
            <w:r>
              <w:rPr/>
              <w:t> </w:t>
            </w:r>
          </w:p>
        </w:tc>
      </w:tr>
      <w:tr>
        <w:trPr/>
        <w:tc>
          <w:tcPr>
            <w:tcW w:w="275" w:type="dxa"/>
            <w:tcBorders/>
            <w:shd w:fill="CCEEFF" w:val="clear"/>
            <w:vAlign w:val="center"/>
          </w:tcPr>
          <w:p>
            <w:pPr>
              <w:pStyle w:val="TableContents"/>
              <w:bidi w:val="0"/>
              <w:spacing w:before="0" w:after="283"/>
              <w:jc w:val="left"/>
              <w:rPr/>
            </w:pPr>
            <w:r>
              <w:rPr/>
              <w:t>8</w:t>
            </w:r>
          </w:p>
        </w:tc>
        <w:tc>
          <w:tcPr>
            <w:tcW w:w="7762" w:type="dxa"/>
            <w:tcBorders/>
            <w:shd w:fill="CCEEFF" w:val="clear"/>
            <w:vAlign w:val="center"/>
          </w:tcPr>
          <w:p>
            <w:pPr>
              <w:pStyle w:val="TableContents"/>
              <w:bidi w:val="0"/>
              <w:spacing w:before="0" w:after="283"/>
              <w:jc w:val="left"/>
              <w:rPr/>
            </w:pPr>
            <w:r>
              <w:rPr/>
              <w:t>Changji George Chanson Bakery</w:t>
            </w:r>
          </w:p>
        </w:tc>
        <w:tc>
          <w:tcPr>
            <w:tcW w:w="60" w:type="dxa"/>
            <w:tcBorders/>
            <w:shd w:fill="CCEEFF" w:val="clear"/>
            <w:vAlign w:val="center"/>
          </w:tcPr>
          <w:p>
            <w:pPr>
              <w:pStyle w:val="TableContents"/>
              <w:bidi w:val="0"/>
              <w:spacing w:before="0" w:after="283"/>
              <w:jc w:val="left"/>
              <w:rPr/>
            </w:pPr>
            <w:r>
              <w:rPr/>
              <w:t> </w:t>
            </w:r>
          </w:p>
        </w:tc>
        <w:tc>
          <w:tcPr>
            <w:tcW w:w="2108" w:type="dxa"/>
            <w:tcBorders/>
            <w:shd w:fill="CCEEFF" w:val="clear"/>
            <w:vAlign w:val="center"/>
          </w:tcPr>
          <w:p>
            <w:pPr>
              <w:pStyle w:val="TableContents"/>
              <w:bidi w:val="0"/>
              <w:spacing w:before="0" w:after="283"/>
              <w:jc w:val="center"/>
              <w:rPr/>
            </w:pPr>
            <w:r>
              <w:rPr/>
              <w:t>PRC</w:t>
            </w:r>
          </w:p>
        </w:tc>
      </w:tr>
      <w:tr>
        <w:trPr/>
        <w:tc>
          <w:tcPr>
            <w:tcW w:w="275" w:type="dxa"/>
            <w:tcBorders/>
            <w:shd w:fill="FFFFFF" w:val="clear"/>
            <w:vAlign w:val="center"/>
          </w:tcPr>
          <w:p>
            <w:pPr>
              <w:pStyle w:val="TableContents"/>
              <w:bidi w:val="0"/>
              <w:spacing w:before="0" w:after="283"/>
              <w:jc w:val="left"/>
              <w:rPr/>
            </w:pPr>
            <w:r>
              <w:rPr/>
              <w:t> </w:t>
            </w:r>
          </w:p>
        </w:tc>
        <w:tc>
          <w:tcPr>
            <w:tcW w:w="77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8" w:type="dxa"/>
            <w:tcBorders/>
            <w:shd w:fill="FFFFFF" w:val="clear"/>
            <w:vAlign w:val="center"/>
          </w:tcPr>
          <w:p>
            <w:pPr>
              <w:pStyle w:val="TableContents"/>
              <w:bidi w:val="0"/>
              <w:spacing w:before="0" w:after="283"/>
              <w:jc w:val="center"/>
              <w:rPr/>
            </w:pPr>
            <w:r>
              <w:rPr/>
              <w:t> </w:t>
            </w:r>
          </w:p>
        </w:tc>
      </w:tr>
      <w:tr>
        <w:trPr/>
        <w:tc>
          <w:tcPr>
            <w:tcW w:w="275" w:type="dxa"/>
            <w:tcBorders/>
            <w:shd w:fill="CCEEFF" w:val="clear"/>
            <w:vAlign w:val="center"/>
          </w:tcPr>
          <w:p>
            <w:pPr>
              <w:pStyle w:val="TableContents"/>
              <w:bidi w:val="0"/>
              <w:spacing w:before="0" w:after="283"/>
              <w:jc w:val="left"/>
              <w:rPr/>
            </w:pPr>
            <w:r>
              <w:rPr/>
              <w:t>9</w:t>
            </w:r>
          </w:p>
        </w:tc>
        <w:tc>
          <w:tcPr>
            <w:tcW w:w="7762" w:type="dxa"/>
            <w:tcBorders/>
            <w:shd w:fill="CCEEFF" w:val="clear"/>
            <w:vAlign w:val="center"/>
          </w:tcPr>
          <w:p>
            <w:pPr>
              <w:pStyle w:val="TableContents"/>
              <w:bidi w:val="0"/>
              <w:spacing w:before="0" w:after="283"/>
              <w:jc w:val="left"/>
              <w:rPr/>
            </w:pPr>
            <w:r>
              <w:rPr/>
              <w:t>Shuimogou District South Nanhu Rd. George Chanson Bakery</w:t>
            </w:r>
          </w:p>
        </w:tc>
        <w:tc>
          <w:tcPr>
            <w:tcW w:w="60" w:type="dxa"/>
            <w:tcBorders/>
            <w:shd w:fill="CCEEFF" w:val="clear"/>
            <w:vAlign w:val="center"/>
          </w:tcPr>
          <w:p>
            <w:pPr>
              <w:pStyle w:val="TableContents"/>
              <w:bidi w:val="0"/>
              <w:spacing w:before="0" w:after="283"/>
              <w:jc w:val="left"/>
              <w:rPr/>
            </w:pPr>
            <w:r>
              <w:rPr/>
              <w:t> </w:t>
            </w:r>
          </w:p>
        </w:tc>
        <w:tc>
          <w:tcPr>
            <w:tcW w:w="2108" w:type="dxa"/>
            <w:tcBorders/>
            <w:shd w:fill="CCEEFF" w:val="clear"/>
            <w:vAlign w:val="center"/>
          </w:tcPr>
          <w:p>
            <w:pPr>
              <w:pStyle w:val="TableContents"/>
              <w:bidi w:val="0"/>
              <w:spacing w:before="0" w:after="283"/>
              <w:jc w:val="center"/>
              <w:rPr/>
            </w:pPr>
            <w:r>
              <w:rPr/>
              <w:t>PRC</w:t>
            </w:r>
          </w:p>
        </w:tc>
      </w:tr>
      <w:tr>
        <w:trPr/>
        <w:tc>
          <w:tcPr>
            <w:tcW w:w="275" w:type="dxa"/>
            <w:tcBorders/>
            <w:shd w:fill="FFFFFF" w:val="clear"/>
            <w:vAlign w:val="center"/>
          </w:tcPr>
          <w:p>
            <w:pPr>
              <w:pStyle w:val="TableContents"/>
              <w:bidi w:val="0"/>
              <w:spacing w:before="0" w:after="283"/>
              <w:jc w:val="left"/>
              <w:rPr/>
            </w:pPr>
            <w:r>
              <w:rPr/>
              <w:t> </w:t>
            </w:r>
          </w:p>
        </w:tc>
        <w:tc>
          <w:tcPr>
            <w:tcW w:w="77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8" w:type="dxa"/>
            <w:tcBorders/>
            <w:shd w:fill="FFFFFF" w:val="clear"/>
            <w:vAlign w:val="center"/>
          </w:tcPr>
          <w:p>
            <w:pPr>
              <w:pStyle w:val="TableContents"/>
              <w:bidi w:val="0"/>
              <w:spacing w:before="0" w:after="283"/>
              <w:jc w:val="center"/>
              <w:rPr/>
            </w:pPr>
            <w:r>
              <w:rPr/>
              <w:t> </w:t>
            </w:r>
          </w:p>
        </w:tc>
      </w:tr>
      <w:tr>
        <w:trPr/>
        <w:tc>
          <w:tcPr>
            <w:tcW w:w="275" w:type="dxa"/>
            <w:tcBorders/>
            <w:shd w:fill="CCEEFF" w:val="clear"/>
            <w:vAlign w:val="center"/>
          </w:tcPr>
          <w:p>
            <w:pPr>
              <w:pStyle w:val="TableContents"/>
              <w:bidi w:val="0"/>
              <w:spacing w:before="0" w:after="283"/>
              <w:jc w:val="left"/>
              <w:rPr/>
            </w:pPr>
            <w:r>
              <w:rPr/>
              <w:t>10</w:t>
            </w:r>
          </w:p>
        </w:tc>
        <w:tc>
          <w:tcPr>
            <w:tcW w:w="7762" w:type="dxa"/>
            <w:tcBorders/>
            <w:shd w:fill="CCEEFF" w:val="clear"/>
            <w:vAlign w:val="center"/>
          </w:tcPr>
          <w:p>
            <w:pPr>
              <w:pStyle w:val="TableContents"/>
              <w:bidi w:val="0"/>
              <w:spacing w:before="0" w:after="283"/>
              <w:jc w:val="left"/>
              <w:rPr/>
            </w:pPr>
            <w:r>
              <w:rPr/>
              <w:t>Xinshi District Hebei East Rd. George Chanson Bakery</w:t>
            </w:r>
          </w:p>
        </w:tc>
        <w:tc>
          <w:tcPr>
            <w:tcW w:w="60" w:type="dxa"/>
            <w:tcBorders/>
            <w:shd w:fill="CCEEFF" w:val="clear"/>
            <w:vAlign w:val="center"/>
          </w:tcPr>
          <w:p>
            <w:pPr>
              <w:pStyle w:val="TableContents"/>
              <w:bidi w:val="0"/>
              <w:spacing w:before="0" w:after="283"/>
              <w:jc w:val="left"/>
              <w:rPr/>
            </w:pPr>
            <w:r>
              <w:rPr/>
              <w:t> </w:t>
            </w:r>
          </w:p>
        </w:tc>
        <w:tc>
          <w:tcPr>
            <w:tcW w:w="2108" w:type="dxa"/>
            <w:tcBorders/>
            <w:shd w:fill="CCEEFF" w:val="clear"/>
            <w:vAlign w:val="center"/>
          </w:tcPr>
          <w:p>
            <w:pPr>
              <w:pStyle w:val="TableContents"/>
              <w:bidi w:val="0"/>
              <w:spacing w:before="0" w:after="283"/>
              <w:jc w:val="center"/>
              <w:rPr/>
            </w:pPr>
            <w:r>
              <w:rPr/>
              <w:t>PRC</w:t>
            </w:r>
          </w:p>
        </w:tc>
      </w:tr>
      <w:tr>
        <w:trPr/>
        <w:tc>
          <w:tcPr>
            <w:tcW w:w="275" w:type="dxa"/>
            <w:tcBorders/>
            <w:shd w:fill="FFFFFF" w:val="clear"/>
            <w:vAlign w:val="center"/>
          </w:tcPr>
          <w:p>
            <w:pPr>
              <w:pStyle w:val="TableContents"/>
              <w:bidi w:val="0"/>
              <w:spacing w:before="0" w:after="283"/>
              <w:jc w:val="left"/>
              <w:rPr/>
            </w:pPr>
            <w:r>
              <w:rPr/>
              <w:t> </w:t>
            </w:r>
          </w:p>
        </w:tc>
        <w:tc>
          <w:tcPr>
            <w:tcW w:w="77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8" w:type="dxa"/>
            <w:tcBorders/>
            <w:shd w:fill="FFFFFF" w:val="clear"/>
            <w:vAlign w:val="center"/>
          </w:tcPr>
          <w:p>
            <w:pPr>
              <w:pStyle w:val="TableContents"/>
              <w:bidi w:val="0"/>
              <w:spacing w:before="0" w:after="283"/>
              <w:jc w:val="center"/>
              <w:rPr/>
            </w:pPr>
            <w:r>
              <w:rPr/>
              <w:t> </w:t>
            </w:r>
          </w:p>
        </w:tc>
      </w:tr>
      <w:tr>
        <w:trPr/>
        <w:tc>
          <w:tcPr>
            <w:tcW w:w="275" w:type="dxa"/>
            <w:tcBorders/>
            <w:shd w:fill="CCEEFF" w:val="clear"/>
            <w:vAlign w:val="center"/>
          </w:tcPr>
          <w:p>
            <w:pPr>
              <w:pStyle w:val="TableContents"/>
              <w:bidi w:val="0"/>
              <w:spacing w:before="0" w:after="283"/>
              <w:jc w:val="left"/>
              <w:rPr/>
            </w:pPr>
            <w:r>
              <w:rPr/>
              <w:t>11</w:t>
            </w:r>
          </w:p>
        </w:tc>
        <w:tc>
          <w:tcPr>
            <w:tcW w:w="7762" w:type="dxa"/>
            <w:tcBorders/>
            <w:shd w:fill="CCEEFF" w:val="clear"/>
            <w:vAlign w:val="center"/>
          </w:tcPr>
          <w:p>
            <w:pPr>
              <w:pStyle w:val="TableContents"/>
              <w:bidi w:val="0"/>
              <w:spacing w:before="0" w:after="283"/>
              <w:jc w:val="left"/>
              <w:rPr/>
            </w:pPr>
            <w:r>
              <w:rPr/>
              <w:t>Urumqi Toutunhe District George Chanson Bakery on Zhongya South Rd.</w:t>
            </w:r>
          </w:p>
        </w:tc>
        <w:tc>
          <w:tcPr>
            <w:tcW w:w="60" w:type="dxa"/>
            <w:tcBorders/>
            <w:shd w:fill="CCEEFF" w:val="clear"/>
            <w:vAlign w:val="center"/>
          </w:tcPr>
          <w:p>
            <w:pPr>
              <w:pStyle w:val="TableContents"/>
              <w:bidi w:val="0"/>
              <w:spacing w:before="0" w:after="283"/>
              <w:jc w:val="left"/>
              <w:rPr/>
            </w:pPr>
            <w:r>
              <w:rPr/>
              <w:t> </w:t>
            </w:r>
          </w:p>
        </w:tc>
        <w:tc>
          <w:tcPr>
            <w:tcW w:w="2108" w:type="dxa"/>
            <w:tcBorders/>
            <w:shd w:fill="CCEEFF" w:val="clear"/>
            <w:vAlign w:val="center"/>
          </w:tcPr>
          <w:p>
            <w:pPr>
              <w:pStyle w:val="TableContents"/>
              <w:bidi w:val="0"/>
              <w:spacing w:before="0" w:after="283"/>
              <w:jc w:val="center"/>
              <w:rPr/>
            </w:pPr>
            <w:r>
              <w:rPr/>
              <w:t>PRC</w:t>
            </w:r>
          </w:p>
        </w:tc>
      </w:tr>
      <w:tr>
        <w:trPr/>
        <w:tc>
          <w:tcPr>
            <w:tcW w:w="275" w:type="dxa"/>
            <w:tcBorders/>
            <w:shd w:fill="FFFFFF" w:val="clear"/>
            <w:vAlign w:val="center"/>
          </w:tcPr>
          <w:p>
            <w:pPr>
              <w:pStyle w:val="TableContents"/>
              <w:bidi w:val="0"/>
              <w:spacing w:before="0" w:after="283"/>
              <w:jc w:val="left"/>
              <w:rPr/>
            </w:pPr>
            <w:r>
              <w:rPr/>
              <w:t> </w:t>
            </w:r>
          </w:p>
        </w:tc>
        <w:tc>
          <w:tcPr>
            <w:tcW w:w="77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8" w:type="dxa"/>
            <w:tcBorders/>
            <w:shd w:fill="FFFFFF" w:val="clear"/>
            <w:vAlign w:val="center"/>
          </w:tcPr>
          <w:p>
            <w:pPr>
              <w:pStyle w:val="TableContents"/>
              <w:bidi w:val="0"/>
              <w:spacing w:before="0" w:after="283"/>
              <w:jc w:val="center"/>
              <w:rPr/>
            </w:pPr>
            <w:r>
              <w:rPr/>
              <w:t> </w:t>
            </w:r>
          </w:p>
        </w:tc>
      </w:tr>
      <w:tr>
        <w:trPr/>
        <w:tc>
          <w:tcPr>
            <w:tcW w:w="275" w:type="dxa"/>
            <w:tcBorders/>
            <w:shd w:fill="CCEEFF" w:val="clear"/>
            <w:vAlign w:val="center"/>
          </w:tcPr>
          <w:p>
            <w:pPr>
              <w:pStyle w:val="TableContents"/>
              <w:bidi w:val="0"/>
              <w:spacing w:before="0" w:after="283"/>
              <w:jc w:val="left"/>
              <w:rPr/>
            </w:pPr>
            <w:r>
              <w:rPr/>
              <w:t>12</w:t>
            </w:r>
          </w:p>
        </w:tc>
        <w:tc>
          <w:tcPr>
            <w:tcW w:w="7762" w:type="dxa"/>
            <w:tcBorders/>
            <w:shd w:fill="CCEEFF" w:val="clear"/>
            <w:vAlign w:val="center"/>
          </w:tcPr>
          <w:p>
            <w:pPr>
              <w:pStyle w:val="TableContents"/>
              <w:bidi w:val="0"/>
              <w:spacing w:before="0" w:after="283"/>
              <w:jc w:val="left"/>
              <w:rPr/>
            </w:pPr>
            <w:r>
              <w:rPr/>
              <w:t>Shayibake District Karamay West Rd. Chanson Bakery</w:t>
            </w:r>
          </w:p>
        </w:tc>
        <w:tc>
          <w:tcPr>
            <w:tcW w:w="60" w:type="dxa"/>
            <w:tcBorders/>
            <w:shd w:fill="CCEEFF" w:val="clear"/>
            <w:vAlign w:val="center"/>
          </w:tcPr>
          <w:p>
            <w:pPr>
              <w:pStyle w:val="TableContents"/>
              <w:bidi w:val="0"/>
              <w:spacing w:before="0" w:after="283"/>
              <w:jc w:val="left"/>
              <w:rPr/>
            </w:pPr>
            <w:r>
              <w:rPr/>
              <w:t> </w:t>
            </w:r>
          </w:p>
        </w:tc>
        <w:tc>
          <w:tcPr>
            <w:tcW w:w="2108" w:type="dxa"/>
            <w:tcBorders/>
            <w:shd w:fill="CCEEFF" w:val="clear"/>
            <w:vAlign w:val="center"/>
          </w:tcPr>
          <w:p>
            <w:pPr>
              <w:pStyle w:val="TableContents"/>
              <w:bidi w:val="0"/>
              <w:spacing w:before="0" w:after="283"/>
              <w:jc w:val="center"/>
              <w:rPr/>
            </w:pPr>
            <w:r>
              <w:rPr/>
              <w:t>PRC</w:t>
            </w:r>
          </w:p>
        </w:tc>
      </w:tr>
      <w:tr>
        <w:trPr/>
        <w:tc>
          <w:tcPr>
            <w:tcW w:w="275" w:type="dxa"/>
            <w:tcBorders/>
            <w:vAlign w:val="center"/>
          </w:tcPr>
          <w:p>
            <w:pPr>
              <w:pStyle w:val="TableContents"/>
              <w:bidi w:val="0"/>
              <w:spacing w:before="0" w:after="283"/>
              <w:jc w:val="left"/>
              <w:rPr/>
            </w:pPr>
            <w:r>
              <w:rPr/>
              <w:t> </w:t>
            </w:r>
          </w:p>
        </w:tc>
        <w:tc>
          <w:tcPr>
            <w:tcW w:w="77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8" w:type="dxa"/>
            <w:tcBorders/>
            <w:vAlign w:val="center"/>
          </w:tcPr>
          <w:p>
            <w:pPr>
              <w:pStyle w:val="TableContents"/>
              <w:bidi w:val="0"/>
              <w:spacing w:before="0" w:after="283"/>
              <w:jc w:val="center"/>
              <w:rPr/>
            </w:pPr>
            <w:r>
              <w:rPr/>
              <w:t> </w:t>
            </w:r>
          </w:p>
        </w:tc>
      </w:tr>
    </w:tbl>
    <w:tbl>
      <w:tblPr>
        <w:tblW w:w="5475" w:type="dxa"/>
        <w:jc w:val="left"/>
        <w:tblInd w:w="0" w:type="dxa"/>
        <w:tblLayout w:type="fixed"/>
        <w:tblCellMar>
          <w:top w:w="0" w:type="dxa"/>
          <w:left w:w="0" w:type="dxa"/>
          <w:bottom w:w="0" w:type="dxa"/>
          <w:right w:w="0" w:type="dxa"/>
        </w:tblCellMar>
      </w:tblPr>
      <w:tblGrid>
        <w:gridCol w:w="275"/>
        <w:gridCol w:w="4640"/>
        <w:gridCol w:w="60"/>
        <w:gridCol w:w="500"/>
      </w:tblGrid>
      <w:tr>
        <w:trPr/>
        <w:tc>
          <w:tcPr>
            <w:tcW w:w="275" w:type="dxa"/>
            <w:tcBorders/>
            <w:vAlign w:val="center"/>
          </w:tcPr>
          <w:p>
            <w:pPr>
              <w:pStyle w:val="TableContents"/>
              <w:bidi w:val="0"/>
              <w:spacing w:before="0" w:after="283"/>
              <w:jc w:val="left"/>
              <w:rPr/>
            </w:pPr>
            <w:r>
              <w:rPr/>
              <w:t>13</w:t>
            </w:r>
          </w:p>
        </w:tc>
        <w:tc>
          <w:tcPr>
            <w:tcW w:w="4640" w:type="dxa"/>
            <w:tcBorders/>
            <w:vAlign w:val="center"/>
          </w:tcPr>
          <w:p>
            <w:pPr>
              <w:pStyle w:val="TableContents"/>
              <w:bidi w:val="0"/>
              <w:spacing w:before="0" w:after="283"/>
              <w:jc w:val="left"/>
              <w:rPr/>
            </w:pPr>
            <w:r>
              <w:rPr/>
              <w:t>Tianshan District Qingnian Rd. Chanson Bakery</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PRC</w:t>
            </w:r>
          </w:p>
        </w:tc>
      </w:tr>
    </w:tbl>
    <w:p>
      <w:pPr>
        <w:pStyle w:val="TextBody"/>
        <w:bidi w:val="0"/>
        <w:spacing w:before="0" w:after="283"/>
        <w:jc w:val="left"/>
        <w:rPr/>
      </w:pPr>
      <w:r>
        <w:rPr/>
        <w:t> </w:t>
      </w:r>
    </w:p>
    <w:tbl>
      <w:tblPr>
        <w:tblW w:w="10080" w:type="dxa"/>
        <w:jc w:val="left"/>
        <w:tblInd w:w="0" w:type="dxa"/>
        <w:tblLayout w:type="fixed"/>
        <w:tblCellMar>
          <w:top w:w="0" w:type="dxa"/>
          <w:left w:w="0" w:type="dxa"/>
          <w:bottom w:w="0" w:type="dxa"/>
          <w:right w:w="0" w:type="dxa"/>
        </w:tblCellMar>
      </w:tblPr>
      <w:tblGrid>
        <w:gridCol w:w="275"/>
        <w:gridCol w:w="9245"/>
        <w:gridCol w:w="60"/>
        <w:gridCol w:w="500"/>
      </w:tblGrid>
      <w:tr>
        <w:trPr/>
        <w:tc>
          <w:tcPr>
            <w:tcW w:w="275" w:type="dxa"/>
            <w:tcBorders/>
            <w:shd w:fill="CCEEFF" w:val="clear"/>
            <w:vAlign w:val="center"/>
          </w:tcPr>
          <w:p>
            <w:pPr>
              <w:pStyle w:val="TableContents"/>
              <w:bidi w:val="0"/>
              <w:spacing w:before="0" w:after="283"/>
              <w:jc w:val="left"/>
              <w:rPr/>
            </w:pPr>
            <w:r>
              <w:rPr/>
              <w:t>14</w:t>
            </w:r>
          </w:p>
        </w:tc>
        <w:tc>
          <w:tcPr>
            <w:tcW w:w="9245" w:type="dxa"/>
            <w:tcBorders/>
            <w:shd w:fill="CCEEFF" w:val="clear"/>
            <w:vAlign w:val="center"/>
          </w:tcPr>
          <w:p>
            <w:pPr>
              <w:pStyle w:val="TableContents"/>
              <w:bidi w:val="0"/>
              <w:spacing w:before="0" w:after="283"/>
              <w:jc w:val="left"/>
              <w:rPr/>
            </w:pPr>
            <w:r>
              <w:rPr/>
              <w:t>Gaoxin (Xinshi) District Liyushan North Rd. Hemeijia Bakery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PRC</w:t>
            </w:r>
          </w:p>
        </w:tc>
      </w:tr>
      <w:tr>
        <w:trPr/>
        <w:tc>
          <w:tcPr>
            <w:tcW w:w="275" w:type="dxa"/>
            <w:tcBorders/>
            <w:shd w:fill="FFFFFF" w:val="clear"/>
            <w:vAlign w:val="center"/>
          </w:tcPr>
          <w:p>
            <w:pPr>
              <w:pStyle w:val="TableContents"/>
              <w:bidi w:val="0"/>
              <w:spacing w:before="0" w:after="283"/>
              <w:jc w:val="left"/>
              <w:rPr/>
            </w:pPr>
            <w:r>
              <w:rPr/>
              <w:t> </w:t>
            </w:r>
          </w:p>
        </w:tc>
        <w:tc>
          <w:tcPr>
            <w:tcW w:w="9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r>
      <w:tr>
        <w:trPr/>
        <w:tc>
          <w:tcPr>
            <w:tcW w:w="275" w:type="dxa"/>
            <w:tcBorders/>
            <w:shd w:fill="CCEEFF" w:val="clear"/>
            <w:vAlign w:val="center"/>
          </w:tcPr>
          <w:p>
            <w:pPr>
              <w:pStyle w:val="TableContents"/>
              <w:bidi w:val="0"/>
              <w:spacing w:before="0" w:after="283"/>
              <w:jc w:val="left"/>
              <w:rPr/>
            </w:pPr>
            <w:r>
              <w:rPr/>
              <w:t>15</w:t>
            </w:r>
          </w:p>
        </w:tc>
        <w:tc>
          <w:tcPr>
            <w:tcW w:w="9245" w:type="dxa"/>
            <w:tcBorders/>
            <w:shd w:fill="CCEEFF" w:val="clear"/>
            <w:vAlign w:val="center"/>
          </w:tcPr>
          <w:p>
            <w:pPr>
              <w:pStyle w:val="TableContents"/>
              <w:bidi w:val="0"/>
              <w:spacing w:before="0" w:after="283"/>
              <w:jc w:val="left"/>
              <w:rPr/>
            </w:pPr>
            <w:r>
              <w:rPr/>
              <w:t>Tianshan District Jiefang North Rd. Chanson Coffee Bakery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PRC</w:t>
            </w:r>
          </w:p>
        </w:tc>
      </w:tr>
      <w:tr>
        <w:trPr/>
        <w:tc>
          <w:tcPr>
            <w:tcW w:w="275" w:type="dxa"/>
            <w:tcBorders/>
            <w:shd w:fill="FFFFFF" w:val="clear"/>
            <w:vAlign w:val="center"/>
          </w:tcPr>
          <w:p>
            <w:pPr>
              <w:pStyle w:val="TableContents"/>
              <w:bidi w:val="0"/>
              <w:spacing w:before="0" w:after="283"/>
              <w:jc w:val="left"/>
              <w:rPr/>
            </w:pPr>
            <w:r>
              <w:rPr/>
              <w:t> </w:t>
            </w:r>
          </w:p>
        </w:tc>
        <w:tc>
          <w:tcPr>
            <w:tcW w:w="9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r>
      <w:tr>
        <w:trPr/>
        <w:tc>
          <w:tcPr>
            <w:tcW w:w="275" w:type="dxa"/>
            <w:tcBorders/>
            <w:shd w:fill="CCEEFF" w:val="clear"/>
            <w:vAlign w:val="center"/>
          </w:tcPr>
          <w:p>
            <w:pPr>
              <w:pStyle w:val="TableContents"/>
              <w:bidi w:val="0"/>
              <w:spacing w:before="0" w:after="283"/>
              <w:jc w:val="left"/>
              <w:rPr/>
            </w:pPr>
            <w:r>
              <w:rPr/>
              <w:t>16</w:t>
            </w:r>
          </w:p>
        </w:tc>
        <w:tc>
          <w:tcPr>
            <w:tcW w:w="9245" w:type="dxa"/>
            <w:tcBorders/>
            <w:shd w:fill="CCEEFF" w:val="clear"/>
            <w:vAlign w:val="center"/>
          </w:tcPr>
          <w:p>
            <w:pPr>
              <w:pStyle w:val="TableContents"/>
              <w:bidi w:val="0"/>
              <w:spacing w:before="0" w:after="283"/>
              <w:jc w:val="left"/>
              <w:rPr/>
            </w:pPr>
            <w:r>
              <w:rPr/>
              <w:t>Tianshan District Wenhua Rd. Chanson Coffee Bakery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PRC</w:t>
            </w:r>
          </w:p>
        </w:tc>
      </w:tr>
      <w:tr>
        <w:trPr/>
        <w:tc>
          <w:tcPr>
            <w:tcW w:w="275" w:type="dxa"/>
            <w:tcBorders/>
            <w:shd w:fill="FFFFFF" w:val="clear"/>
            <w:vAlign w:val="center"/>
          </w:tcPr>
          <w:p>
            <w:pPr>
              <w:pStyle w:val="TableContents"/>
              <w:bidi w:val="0"/>
              <w:spacing w:before="0" w:after="283"/>
              <w:jc w:val="left"/>
              <w:rPr/>
            </w:pPr>
            <w:r>
              <w:rPr/>
              <w:t> </w:t>
            </w:r>
          </w:p>
        </w:tc>
        <w:tc>
          <w:tcPr>
            <w:tcW w:w="9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r>
      <w:tr>
        <w:trPr/>
        <w:tc>
          <w:tcPr>
            <w:tcW w:w="275" w:type="dxa"/>
            <w:tcBorders/>
            <w:shd w:fill="CCEEFF" w:val="clear"/>
            <w:vAlign w:val="center"/>
          </w:tcPr>
          <w:p>
            <w:pPr>
              <w:pStyle w:val="TableContents"/>
              <w:bidi w:val="0"/>
              <w:spacing w:before="0" w:after="283"/>
              <w:jc w:val="left"/>
              <w:rPr/>
            </w:pPr>
            <w:r>
              <w:rPr/>
              <w:t>17</w:t>
            </w:r>
          </w:p>
        </w:tc>
        <w:tc>
          <w:tcPr>
            <w:tcW w:w="9245" w:type="dxa"/>
            <w:tcBorders/>
            <w:shd w:fill="CCEEFF" w:val="clear"/>
            <w:vAlign w:val="center"/>
          </w:tcPr>
          <w:p>
            <w:pPr>
              <w:pStyle w:val="TableContents"/>
              <w:bidi w:val="0"/>
              <w:spacing w:before="0" w:after="283"/>
              <w:jc w:val="left"/>
              <w:rPr/>
            </w:pPr>
            <w:r>
              <w:rPr/>
              <w:t>Tianshan District Minzhu Rd. Heimeijie Coffee and Food</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PRC</w:t>
            </w:r>
          </w:p>
        </w:tc>
      </w:tr>
      <w:tr>
        <w:trPr/>
        <w:tc>
          <w:tcPr>
            <w:tcW w:w="275" w:type="dxa"/>
            <w:tcBorders/>
            <w:shd w:fill="FFFFFF" w:val="clear"/>
            <w:vAlign w:val="center"/>
          </w:tcPr>
          <w:p>
            <w:pPr>
              <w:pStyle w:val="TableContents"/>
              <w:bidi w:val="0"/>
              <w:spacing w:before="0" w:after="283"/>
              <w:jc w:val="left"/>
              <w:rPr/>
            </w:pPr>
            <w:r>
              <w:rPr/>
              <w:t> </w:t>
            </w:r>
          </w:p>
        </w:tc>
        <w:tc>
          <w:tcPr>
            <w:tcW w:w="9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r>
      <w:tr>
        <w:trPr/>
        <w:tc>
          <w:tcPr>
            <w:tcW w:w="275" w:type="dxa"/>
            <w:tcBorders/>
            <w:shd w:fill="CCEEFF" w:val="clear"/>
            <w:vAlign w:val="center"/>
          </w:tcPr>
          <w:p>
            <w:pPr>
              <w:pStyle w:val="TableContents"/>
              <w:bidi w:val="0"/>
              <w:spacing w:before="0" w:after="283"/>
              <w:jc w:val="left"/>
              <w:rPr/>
            </w:pPr>
            <w:r>
              <w:rPr/>
              <w:t>18</w:t>
            </w:r>
          </w:p>
        </w:tc>
        <w:tc>
          <w:tcPr>
            <w:tcW w:w="9245" w:type="dxa"/>
            <w:tcBorders/>
            <w:shd w:fill="CCEEFF" w:val="clear"/>
            <w:vAlign w:val="center"/>
          </w:tcPr>
          <w:p>
            <w:pPr>
              <w:pStyle w:val="TableContents"/>
              <w:bidi w:val="0"/>
              <w:spacing w:before="0" w:after="283"/>
              <w:jc w:val="left"/>
              <w:rPr/>
            </w:pPr>
            <w:r>
              <w:rPr/>
              <w:t>Tianshan District Cuiquan Rd. George Chanson Bakery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PRC</w:t>
            </w:r>
          </w:p>
        </w:tc>
      </w:tr>
      <w:tr>
        <w:trPr/>
        <w:tc>
          <w:tcPr>
            <w:tcW w:w="275" w:type="dxa"/>
            <w:tcBorders/>
            <w:shd w:fill="FFFFFF" w:val="clear"/>
            <w:vAlign w:val="center"/>
          </w:tcPr>
          <w:p>
            <w:pPr>
              <w:pStyle w:val="TableContents"/>
              <w:bidi w:val="0"/>
              <w:spacing w:before="0" w:after="283"/>
              <w:jc w:val="left"/>
              <w:rPr/>
            </w:pPr>
            <w:r>
              <w:rPr/>
              <w:t> </w:t>
            </w:r>
          </w:p>
        </w:tc>
        <w:tc>
          <w:tcPr>
            <w:tcW w:w="9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r>
      <w:tr>
        <w:trPr/>
        <w:tc>
          <w:tcPr>
            <w:tcW w:w="275" w:type="dxa"/>
            <w:tcBorders/>
            <w:shd w:fill="CCEEFF" w:val="clear"/>
            <w:vAlign w:val="center"/>
          </w:tcPr>
          <w:p>
            <w:pPr>
              <w:pStyle w:val="TableContents"/>
              <w:bidi w:val="0"/>
              <w:spacing w:before="0" w:after="283"/>
              <w:jc w:val="left"/>
              <w:rPr/>
            </w:pPr>
            <w:r>
              <w:rPr/>
              <w:t>19</w:t>
            </w:r>
          </w:p>
        </w:tc>
        <w:tc>
          <w:tcPr>
            <w:tcW w:w="9245" w:type="dxa"/>
            <w:tcBorders/>
            <w:shd w:fill="CCEEFF" w:val="clear"/>
            <w:vAlign w:val="center"/>
          </w:tcPr>
          <w:p>
            <w:pPr>
              <w:pStyle w:val="TableContents"/>
              <w:bidi w:val="0"/>
              <w:spacing w:before="0" w:after="283"/>
              <w:jc w:val="left"/>
              <w:rPr/>
            </w:pPr>
            <w:r>
              <w:rPr/>
              <w:t>Tianshan District Cuiquan Rd. Coffee and Food</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PRC</w:t>
            </w:r>
          </w:p>
        </w:tc>
      </w:tr>
      <w:tr>
        <w:trPr/>
        <w:tc>
          <w:tcPr>
            <w:tcW w:w="275" w:type="dxa"/>
            <w:tcBorders/>
            <w:shd w:fill="FFFFFF" w:val="clear"/>
            <w:vAlign w:val="center"/>
          </w:tcPr>
          <w:p>
            <w:pPr>
              <w:pStyle w:val="TableContents"/>
              <w:bidi w:val="0"/>
              <w:spacing w:before="0" w:after="283"/>
              <w:jc w:val="left"/>
              <w:rPr/>
            </w:pPr>
            <w:r>
              <w:rPr/>
              <w:t> </w:t>
            </w:r>
          </w:p>
        </w:tc>
        <w:tc>
          <w:tcPr>
            <w:tcW w:w="9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r>
      <w:tr>
        <w:trPr/>
        <w:tc>
          <w:tcPr>
            <w:tcW w:w="275" w:type="dxa"/>
            <w:tcBorders/>
            <w:shd w:fill="CCEEFF" w:val="clear"/>
            <w:vAlign w:val="center"/>
          </w:tcPr>
          <w:p>
            <w:pPr>
              <w:pStyle w:val="TableContents"/>
              <w:bidi w:val="0"/>
              <w:spacing w:before="0" w:after="283"/>
              <w:jc w:val="left"/>
              <w:rPr/>
            </w:pPr>
            <w:r>
              <w:rPr/>
              <w:t>20</w:t>
            </w:r>
          </w:p>
        </w:tc>
        <w:tc>
          <w:tcPr>
            <w:tcW w:w="9245" w:type="dxa"/>
            <w:tcBorders/>
            <w:shd w:fill="CCEEFF" w:val="clear"/>
            <w:vAlign w:val="center"/>
          </w:tcPr>
          <w:p>
            <w:pPr>
              <w:pStyle w:val="TableContents"/>
              <w:bidi w:val="0"/>
              <w:spacing w:before="0" w:after="283"/>
              <w:jc w:val="left"/>
              <w:rPr/>
            </w:pPr>
            <w:r>
              <w:rPr/>
              <w:t>Gaoxin (Xinshi) District Changchun North Rd. Chanson Coffee and Food</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PRC</w:t>
            </w:r>
          </w:p>
        </w:tc>
      </w:tr>
      <w:tr>
        <w:trPr/>
        <w:tc>
          <w:tcPr>
            <w:tcW w:w="275" w:type="dxa"/>
            <w:tcBorders/>
            <w:shd w:fill="FFFFFF" w:val="clear"/>
            <w:vAlign w:val="center"/>
          </w:tcPr>
          <w:p>
            <w:pPr>
              <w:pStyle w:val="TableContents"/>
              <w:bidi w:val="0"/>
              <w:spacing w:before="0" w:after="283"/>
              <w:jc w:val="left"/>
              <w:rPr/>
            </w:pPr>
            <w:r>
              <w:rPr/>
              <w:t> </w:t>
            </w:r>
          </w:p>
        </w:tc>
        <w:tc>
          <w:tcPr>
            <w:tcW w:w="9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r>
      <w:tr>
        <w:trPr/>
        <w:tc>
          <w:tcPr>
            <w:tcW w:w="275" w:type="dxa"/>
            <w:tcBorders/>
            <w:shd w:fill="CCEEFF" w:val="clear"/>
            <w:vAlign w:val="center"/>
          </w:tcPr>
          <w:p>
            <w:pPr>
              <w:pStyle w:val="TableContents"/>
              <w:bidi w:val="0"/>
              <w:spacing w:before="0" w:after="283"/>
              <w:jc w:val="left"/>
              <w:rPr/>
            </w:pPr>
            <w:r>
              <w:rPr/>
              <w:t>21</w:t>
            </w:r>
          </w:p>
        </w:tc>
        <w:tc>
          <w:tcPr>
            <w:tcW w:w="9245" w:type="dxa"/>
            <w:tcBorders/>
            <w:shd w:fill="CCEEFF" w:val="clear"/>
            <w:vAlign w:val="center"/>
          </w:tcPr>
          <w:p>
            <w:pPr>
              <w:pStyle w:val="TableContents"/>
              <w:bidi w:val="0"/>
              <w:spacing w:before="0" w:after="283"/>
              <w:jc w:val="left"/>
              <w:rPr/>
            </w:pPr>
            <w:r>
              <w:rPr/>
              <w:t>Tianshan District Wenhua Rd. Chanson Coffee and Food</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PRC</w:t>
            </w:r>
          </w:p>
        </w:tc>
      </w:tr>
      <w:tr>
        <w:trPr/>
        <w:tc>
          <w:tcPr>
            <w:tcW w:w="275" w:type="dxa"/>
            <w:tcBorders/>
            <w:shd w:fill="FFFFFF" w:val="clear"/>
            <w:vAlign w:val="center"/>
          </w:tcPr>
          <w:p>
            <w:pPr>
              <w:pStyle w:val="TableContents"/>
              <w:bidi w:val="0"/>
              <w:spacing w:before="0" w:after="283"/>
              <w:jc w:val="left"/>
              <w:rPr/>
            </w:pPr>
            <w:r>
              <w:rPr/>
              <w:t> </w:t>
            </w:r>
          </w:p>
        </w:tc>
        <w:tc>
          <w:tcPr>
            <w:tcW w:w="9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r>
      <w:tr>
        <w:trPr/>
        <w:tc>
          <w:tcPr>
            <w:tcW w:w="275" w:type="dxa"/>
            <w:tcBorders/>
            <w:shd w:fill="CCEEFF" w:val="clear"/>
            <w:vAlign w:val="center"/>
          </w:tcPr>
          <w:p>
            <w:pPr>
              <w:pStyle w:val="TableContents"/>
              <w:bidi w:val="0"/>
              <w:spacing w:before="0" w:after="283"/>
              <w:jc w:val="left"/>
              <w:rPr/>
            </w:pPr>
            <w:r>
              <w:rPr/>
              <w:t>22</w:t>
            </w:r>
          </w:p>
        </w:tc>
        <w:tc>
          <w:tcPr>
            <w:tcW w:w="9245" w:type="dxa"/>
            <w:tcBorders/>
            <w:shd w:fill="CCEEFF" w:val="clear"/>
            <w:vAlign w:val="center"/>
          </w:tcPr>
          <w:p>
            <w:pPr>
              <w:pStyle w:val="TableContents"/>
              <w:bidi w:val="0"/>
              <w:spacing w:before="0" w:after="283"/>
              <w:jc w:val="left"/>
              <w:rPr/>
            </w:pPr>
            <w:r>
              <w:rPr/>
              <w:t>Urumqi Economics and Technology Development District (Toutunhe) Chanson Coffee and Food</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PRC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9370"/>
        <w:gridCol w:w="60"/>
        <w:gridCol w:w="500"/>
      </w:tblGrid>
      <w:tr>
        <w:trPr/>
        <w:tc>
          <w:tcPr>
            <w:tcW w:w="275" w:type="dxa"/>
            <w:tcBorders/>
            <w:shd w:fill="CCEEFF" w:val="clear"/>
            <w:vAlign w:val="center"/>
          </w:tcPr>
          <w:p>
            <w:pPr>
              <w:pStyle w:val="TableContents"/>
              <w:bidi w:val="0"/>
              <w:spacing w:before="0" w:after="283"/>
              <w:jc w:val="left"/>
              <w:rPr/>
            </w:pPr>
            <w:r>
              <w:rPr/>
              <w:t>23</w:t>
            </w:r>
          </w:p>
        </w:tc>
        <w:tc>
          <w:tcPr>
            <w:tcW w:w="9370" w:type="dxa"/>
            <w:tcBorders/>
            <w:shd w:fill="CCEEFF" w:val="clear"/>
            <w:vAlign w:val="center"/>
          </w:tcPr>
          <w:p>
            <w:pPr>
              <w:pStyle w:val="TableContents"/>
              <w:bidi w:val="0"/>
              <w:spacing w:before="0" w:after="283"/>
              <w:jc w:val="left"/>
              <w:rPr/>
            </w:pPr>
            <w:r>
              <w:rPr/>
              <w:t>Tianshan District Dongquan Rd. Hemeijia Chanson Bakery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PRC</w:t>
            </w:r>
          </w:p>
        </w:tc>
      </w:tr>
      <w:tr>
        <w:trPr/>
        <w:tc>
          <w:tcPr>
            <w:tcW w:w="275" w:type="dxa"/>
            <w:tcBorders/>
            <w:shd w:fill="FFFFFF" w:val="clear"/>
            <w:vAlign w:val="center"/>
          </w:tcPr>
          <w:p>
            <w:pPr>
              <w:pStyle w:val="TableContents"/>
              <w:bidi w:val="0"/>
              <w:spacing w:before="0" w:after="283"/>
              <w:jc w:val="left"/>
              <w:rPr/>
            </w:pPr>
            <w:r>
              <w:rPr/>
              <w:t> </w:t>
            </w:r>
          </w:p>
        </w:tc>
        <w:tc>
          <w:tcPr>
            <w:tcW w:w="9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r>
      <w:tr>
        <w:trPr/>
        <w:tc>
          <w:tcPr>
            <w:tcW w:w="275" w:type="dxa"/>
            <w:tcBorders/>
            <w:shd w:fill="CCEEFF" w:val="clear"/>
            <w:vAlign w:val="center"/>
          </w:tcPr>
          <w:p>
            <w:pPr>
              <w:pStyle w:val="TableContents"/>
              <w:bidi w:val="0"/>
              <w:spacing w:before="0" w:after="283"/>
              <w:jc w:val="left"/>
              <w:rPr/>
            </w:pPr>
            <w:r>
              <w:rPr/>
              <w:t>24</w:t>
            </w:r>
          </w:p>
        </w:tc>
        <w:tc>
          <w:tcPr>
            <w:tcW w:w="9370" w:type="dxa"/>
            <w:tcBorders/>
            <w:shd w:fill="CCEEFF" w:val="clear"/>
            <w:vAlign w:val="center"/>
          </w:tcPr>
          <w:p>
            <w:pPr>
              <w:pStyle w:val="TableContents"/>
              <w:bidi w:val="0"/>
              <w:spacing w:before="0" w:after="283"/>
              <w:jc w:val="left"/>
              <w:rPr/>
            </w:pPr>
            <w:r>
              <w:rPr/>
              <w:t>Tianshan District Dongquan Rd. Hemeijia Bakery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PRC</w:t>
            </w:r>
          </w:p>
        </w:tc>
      </w:tr>
      <w:tr>
        <w:trPr/>
        <w:tc>
          <w:tcPr>
            <w:tcW w:w="275" w:type="dxa"/>
            <w:tcBorders/>
            <w:shd w:fill="FFFFFF" w:val="clear"/>
            <w:vAlign w:val="center"/>
          </w:tcPr>
          <w:p>
            <w:pPr>
              <w:pStyle w:val="TableContents"/>
              <w:bidi w:val="0"/>
              <w:spacing w:before="0" w:after="283"/>
              <w:jc w:val="left"/>
              <w:rPr/>
            </w:pPr>
            <w:r>
              <w:rPr/>
              <w:t> </w:t>
            </w:r>
          </w:p>
        </w:tc>
        <w:tc>
          <w:tcPr>
            <w:tcW w:w="9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r>
      <w:tr>
        <w:trPr/>
        <w:tc>
          <w:tcPr>
            <w:tcW w:w="275" w:type="dxa"/>
            <w:tcBorders/>
            <w:shd w:fill="CCEEFF" w:val="clear"/>
            <w:vAlign w:val="center"/>
          </w:tcPr>
          <w:p>
            <w:pPr>
              <w:pStyle w:val="TableContents"/>
              <w:bidi w:val="0"/>
              <w:spacing w:before="0" w:after="283"/>
              <w:jc w:val="left"/>
              <w:rPr/>
            </w:pPr>
            <w:r>
              <w:rPr/>
              <w:t>25</w:t>
            </w:r>
          </w:p>
        </w:tc>
        <w:tc>
          <w:tcPr>
            <w:tcW w:w="9370" w:type="dxa"/>
            <w:tcBorders/>
            <w:shd w:fill="CCEEFF" w:val="clear"/>
            <w:vAlign w:val="center"/>
          </w:tcPr>
          <w:p>
            <w:pPr>
              <w:pStyle w:val="TableContents"/>
              <w:bidi w:val="0"/>
              <w:spacing w:before="0" w:after="283"/>
              <w:jc w:val="left"/>
              <w:rPr/>
            </w:pPr>
            <w:r>
              <w:rPr/>
              <w:t>Gaoxin (Xinshi) District Changchun South Rd. Hemeijia Bakery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PRC</w:t>
            </w:r>
          </w:p>
        </w:tc>
      </w:tr>
      <w:tr>
        <w:trPr/>
        <w:tc>
          <w:tcPr>
            <w:tcW w:w="275" w:type="dxa"/>
            <w:tcBorders/>
            <w:shd w:fill="FFFFFF" w:val="clear"/>
            <w:vAlign w:val="center"/>
          </w:tcPr>
          <w:p>
            <w:pPr>
              <w:pStyle w:val="TableContents"/>
              <w:bidi w:val="0"/>
              <w:spacing w:before="0" w:after="283"/>
              <w:jc w:val="left"/>
              <w:rPr/>
            </w:pPr>
            <w:r>
              <w:rPr/>
              <w:t> </w:t>
            </w:r>
          </w:p>
        </w:tc>
        <w:tc>
          <w:tcPr>
            <w:tcW w:w="9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r>
      <w:tr>
        <w:trPr/>
        <w:tc>
          <w:tcPr>
            <w:tcW w:w="275" w:type="dxa"/>
            <w:tcBorders/>
            <w:shd w:fill="CCEEFF" w:val="clear"/>
            <w:vAlign w:val="center"/>
          </w:tcPr>
          <w:p>
            <w:pPr>
              <w:pStyle w:val="TableContents"/>
              <w:bidi w:val="0"/>
              <w:spacing w:before="0" w:after="283"/>
              <w:jc w:val="left"/>
              <w:rPr/>
            </w:pPr>
            <w:r>
              <w:rPr/>
              <w:t>26</w:t>
            </w:r>
          </w:p>
        </w:tc>
        <w:tc>
          <w:tcPr>
            <w:tcW w:w="9370" w:type="dxa"/>
            <w:tcBorders/>
            <w:shd w:fill="CCEEFF" w:val="clear"/>
            <w:vAlign w:val="center"/>
          </w:tcPr>
          <w:p>
            <w:pPr>
              <w:pStyle w:val="TableContents"/>
              <w:bidi w:val="0"/>
              <w:spacing w:before="0" w:after="283"/>
              <w:jc w:val="left"/>
              <w:rPr/>
            </w:pPr>
            <w:r>
              <w:rPr/>
              <w:t>Gaoxin (Xinshi) District Changsha Rd. Hemeijia Chanson Bakery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PRC</w:t>
            </w:r>
          </w:p>
        </w:tc>
      </w:tr>
      <w:tr>
        <w:trPr/>
        <w:tc>
          <w:tcPr>
            <w:tcW w:w="275" w:type="dxa"/>
            <w:tcBorders/>
            <w:shd w:fill="FFFFFF" w:val="clear"/>
            <w:vAlign w:val="center"/>
          </w:tcPr>
          <w:p>
            <w:pPr>
              <w:pStyle w:val="TableContents"/>
              <w:bidi w:val="0"/>
              <w:spacing w:before="0" w:after="283"/>
              <w:jc w:val="left"/>
              <w:rPr/>
            </w:pPr>
            <w:r>
              <w:rPr/>
              <w:t> </w:t>
            </w:r>
          </w:p>
        </w:tc>
        <w:tc>
          <w:tcPr>
            <w:tcW w:w="9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r>
      <w:tr>
        <w:trPr/>
        <w:tc>
          <w:tcPr>
            <w:tcW w:w="275" w:type="dxa"/>
            <w:tcBorders/>
            <w:shd w:fill="CCEEFF" w:val="clear"/>
            <w:vAlign w:val="center"/>
          </w:tcPr>
          <w:p>
            <w:pPr>
              <w:pStyle w:val="TableContents"/>
              <w:bidi w:val="0"/>
              <w:spacing w:before="0" w:after="283"/>
              <w:jc w:val="left"/>
              <w:rPr/>
            </w:pPr>
            <w:r>
              <w:rPr/>
              <w:t>27</w:t>
            </w:r>
          </w:p>
        </w:tc>
        <w:tc>
          <w:tcPr>
            <w:tcW w:w="9370" w:type="dxa"/>
            <w:tcBorders/>
            <w:shd w:fill="CCEEFF" w:val="clear"/>
            <w:vAlign w:val="center"/>
          </w:tcPr>
          <w:p>
            <w:pPr>
              <w:pStyle w:val="TableContents"/>
              <w:bidi w:val="0"/>
              <w:spacing w:before="0" w:after="283"/>
              <w:jc w:val="left"/>
              <w:rPr/>
            </w:pPr>
            <w:r>
              <w:rPr/>
              <w:t>Gaoxin (Xinshi) District Yingbin Rd. Hemeijia George Chanson Bakery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PRC</w:t>
            </w:r>
          </w:p>
        </w:tc>
      </w:tr>
      <w:tr>
        <w:trPr/>
        <w:tc>
          <w:tcPr>
            <w:tcW w:w="275" w:type="dxa"/>
            <w:tcBorders/>
            <w:shd w:fill="FFFFFF" w:val="clear"/>
            <w:vAlign w:val="center"/>
          </w:tcPr>
          <w:p>
            <w:pPr>
              <w:pStyle w:val="TableContents"/>
              <w:bidi w:val="0"/>
              <w:spacing w:before="0" w:after="283"/>
              <w:jc w:val="left"/>
              <w:rPr/>
            </w:pPr>
            <w:r>
              <w:rPr/>
              <w:t> </w:t>
            </w:r>
          </w:p>
        </w:tc>
        <w:tc>
          <w:tcPr>
            <w:tcW w:w="9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r>
      <w:tr>
        <w:trPr/>
        <w:tc>
          <w:tcPr>
            <w:tcW w:w="275" w:type="dxa"/>
            <w:tcBorders/>
            <w:shd w:fill="CCEEFF" w:val="clear"/>
            <w:vAlign w:val="center"/>
          </w:tcPr>
          <w:p>
            <w:pPr>
              <w:pStyle w:val="TableContents"/>
              <w:bidi w:val="0"/>
              <w:spacing w:before="0" w:after="283"/>
              <w:jc w:val="left"/>
              <w:rPr/>
            </w:pPr>
            <w:r>
              <w:rPr/>
              <w:t>28</w:t>
            </w:r>
          </w:p>
        </w:tc>
        <w:tc>
          <w:tcPr>
            <w:tcW w:w="9370" w:type="dxa"/>
            <w:tcBorders/>
            <w:shd w:fill="CCEEFF" w:val="clear"/>
            <w:vAlign w:val="center"/>
          </w:tcPr>
          <w:p>
            <w:pPr>
              <w:pStyle w:val="TableContents"/>
              <w:bidi w:val="0"/>
              <w:spacing w:before="0" w:after="283"/>
              <w:jc w:val="left"/>
              <w:rPr/>
            </w:pPr>
            <w:r>
              <w:rPr/>
              <w:t>Gaoxin (Xinshi) District Suzhou East Rd. Hemeijia Chanson Bakery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PRC</w:t>
            </w:r>
          </w:p>
        </w:tc>
      </w:tr>
      <w:tr>
        <w:trPr/>
        <w:tc>
          <w:tcPr>
            <w:tcW w:w="275" w:type="dxa"/>
            <w:tcBorders/>
            <w:shd w:fill="FFFFFF" w:val="clear"/>
            <w:vAlign w:val="center"/>
          </w:tcPr>
          <w:p>
            <w:pPr>
              <w:pStyle w:val="TableContents"/>
              <w:bidi w:val="0"/>
              <w:spacing w:before="0" w:after="283"/>
              <w:jc w:val="left"/>
              <w:rPr/>
            </w:pPr>
            <w:r>
              <w:rPr/>
              <w:t> </w:t>
            </w:r>
          </w:p>
        </w:tc>
        <w:tc>
          <w:tcPr>
            <w:tcW w:w="9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r>
      <w:tr>
        <w:trPr/>
        <w:tc>
          <w:tcPr>
            <w:tcW w:w="275" w:type="dxa"/>
            <w:tcBorders/>
            <w:shd w:fill="CCEEFF" w:val="clear"/>
            <w:vAlign w:val="center"/>
          </w:tcPr>
          <w:p>
            <w:pPr>
              <w:pStyle w:val="TableContents"/>
              <w:bidi w:val="0"/>
              <w:spacing w:before="0" w:after="283"/>
              <w:jc w:val="left"/>
              <w:rPr/>
            </w:pPr>
            <w:r>
              <w:rPr/>
              <w:t>29</w:t>
            </w:r>
          </w:p>
        </w:tc>
        <w:tc>
          <w:tcPr>
            <w:tcW w:w="9370" w:type="dxa"/>
            <w:tcBorders/>
            <w:shd w:fill="CCEEFF" w:val="clear"/>
            <w:vAlign w:val="center"/>
          </w:tcPr>
          <w:p>
            <w:pPr>
              <w:pStyle w:val="TableContents"/>
              <w:bidi w:val="0"/>
              <w:spacing w:before="0" w:after="283"/>
              <w:jc w:val="left"/>
              <w:rPr/>
            </w:pPr>
            <w:r>
              <w:rPr/>
              <w:t>Tianshan District Dawan South Rd. Hemeijia George Chanson Bakery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PRC</w:t>
            </w:r>
          </w:p>
        </w:tc>
      </w:tr>
      <w:tr>
        <w:trPr/>
        <w:tc>
          <w:tcPr>
            <w:tcW w:w="275" w:type="dxa"/>
            <w:tcBorders/>
            <w:shd w:fill="FFFFFF" w:val="clear"/>
            <w:vAlign w:val="center"/>
          </w:tcPr>
          <w:p>
            <w:pPr>
              <w:pStyle w:val="TableContents"/>
              <w:bidi w:val="0"/>
              <w:spacing w:before="0" w:after="283"/>
              <w:jc w:val="left"/>
              <w:rPr/>
            </w:pPr>
            <w:r>
              <w:rPr/>
              <w:t> </w:t>
            </w:r>
          </w:p>
        </w:tc>
        <w:tc>
          <w:tcPr>
            <w:tcW w:w="9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r>
      <w:tr>
        <w:trPr/>
        <w:tc>
          <w:tcPr>
            <w:tcW w:w="275" w:type="dxa"/>
            <w:tcBorders/>
            <w:shd w:fill="CCEEFF" w:val="clear"/>
            <w:vAlign w:val="center"/>
          </w:tcPr>
          <w:p>
            <w:pPr>
              <w:pStyle w:val="TableContents"/>
              <w:bidi w:val="0"/>
              <w:spacing w:before="0" w:after="283"/>
              <w:jc w:val="left"/>
              <w:rPr/>
            </w:pPr>
            <w:r>
              <w:rPr/>
              <w:t>30</w:t>
            </w:r>
          </w:p>
        </w:tc>
        <w:tc>
          <w:tcPr>
            <w:tcW w:w="9370" w:type="dxa"/>
            <w:tcBorders/>
            <w:shd w:fill="CCEEFF" w:val="clear"/>
            <w:vAlign w:val="center"/>
          </w:tcPr>
          <w:p>
            <w:pPr>
              <w:pStyle w:val="TableContents"/>
              <w:bidi w:val="0"/>
              <w:spacing w:before="0" w:after="283"/>
              <w:jc w:val="left"/>
              <w:rPr/>
            </w:pPr>
            <w:r>
              <w:rPr/>
              <w:t>Shuimogou District Fengxiang Street Hemeijia George Chanson Bakery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PRC</w:t>
            </w:r>
          </w:p>
        </w:tc>
      </w:tr>
      <w:tr>
        <w:trPr/>
        <w:tc>
          <w:tcPr>
            <w:tcW w:w="275" w:type="dxa"/>
            <w:tcBorders/>
            <w:shd w:fill="FFFFFF" w:val="clear"/>
            <w:vAlign w:val="center"/>
          </w:tcPr>
          <w:p>
            <w:pPr>
              <w:pStyle w:val="TableContents"/>
              <w:bidi w:val="0"/>
              <w:spacing w:before="0" w:after="283"/>
              <w:jc w:val="left"/>
              <w:rPr/>
            </w:pPr>
            <w:r>
              <w:rPr/>
              <w:t> </w:t>
            </w:r>
          </w:p>
        </w:tc>
        <w:tc>
          <w:tcPr>
            <w:tcW w:w="9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r>
      <w:tr>
        <w:trPr/>
        <w:tc>
          <w:tcPr>
            <w:tcW w:w="275" w:type="dxa"/>
            <w:tcBorders/>
            <w:shd w:fill="CCEEFF" w:val="clear"/>
            <w:vAlign w:val="center"/>
          </w:tcPr>
          <w:p>
            <w:pPr>
              <w:pStyle w:val="TableContents"/>
              <w:bidi w:val="0"/>
              <w:spacing w:before="0" w:after="283"/>
              <w:jc w:val="left"/>
              <w:rPr/>
            </w:pPr>
            <w:r>
              <w:rPr/>
              <w:t>31</w:t>
            </w:r>
          </w:p>
        </w:tc>
        <w:tc>
          <w:tcPr>
            <w:tcW w:w="9370" w:type="dxa"/>
            <w:tcBorders/>
            <w:shd w:fill="CCEEFF" w:val="clear"/>
            <w:vAlign w:val="center"/>
          </w:tcPr>
          <w:p>
            <w:pPr>
              <w:pStyle w:val="TableContents"/>
              <w:bidi w:val="0"/>
              <w:spacing w:before="0" w:after="283"/>
              <w:jc w:val="left"/>
              <w:rPr/>
            </w:pPr>
            <w:r>
              <w:rPr/>
              <w:t>Shuimogou District Fengxiang Street Hemeijia Song Coffee and Food Shop</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PRC</w:t>
            </w:r>
          </w:p>
        </w:tc>
      </w:tr>
      <w:tr>
        <w:trPr/>
        <w:tc>
          <w:tcPr>
            <w:tcW w:w="275" w:type="dxa"/>
            <w:tcBorders/>
            <w:shd w:fill="FFFFFF" w:val="clear"/>
            <w:vAlign w:val="center"/>
          </w:tcPr>
          <w:p>
            <w:pPr>
              <w:pStyle w:val="TableContents"/>
              <w:bidi w:val="0"/>
              <w:spacing w:before="0" w:after="283"/>
              <w:jc w:val="left"/>
              <w:rPr/>
            </w:pPr>
            <w:r>
              <w:rPr/>
              <w:t> </w:t>
            </w:r>
          </w:p>
        </w:tc>
        <w:tc>
          <w:tcPr>
            <w:tcW w:w="9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r>
      <w:tr>
        <w:trPr/>
        <w:tc>
          <w:tcPr>
            <w:tcW w:w="275" w:type="dxa"/>
            <w:tcBorders/>
            <w:shd w:fill="CCEEFF" w:val="clear"/>
            <w:vAlign w:val="center"/>
          </w:tcPr>
          <w:p>
            <w:pPr>
              <w:pStyle w:val="TableContents"/>
              <w:bidi w:val="0"/>
              <w:spacing w:before="0" w:after="283"/>
              <w:jc w:val="left"/>
              <w:rPr/>
            </w:pPr>
            <w:r>
              <w:rPr/>
              <w:t>32</w:t>
            </w:r>
          </w:p>
        </w:tc>
        <w:tc>
          <w:tcPr>
            <w:tcW w:w="9370" w:type="dxa"/>
            <w:tcBorders/>
            <w:shd w:fill="CCEEFF" w:val="clear"/>
            <w:vAlign w:val="center"/>
          </w:tcPr>
          <w:p>
            <w:pPr>
              <w:pStyle w:val="TableContents"/>
              <w:bidi w:val="0"/>
              <w:spacing w:before="0" w:after="283"/>
              <w:jc w:val="left"/>
              <w:rPr/>
            </w:pPr>
            <w:r>
              <w:rPr/>
              <w:t>Gaoxin (Xinshi) District Siping Rd.  Hemeijia George Chanson Bakery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PRC</w:t>
            </w:r>
          </w:p>
        </w:tc>
      </w:tr>
      <w:tr>
        <w:trPr/>
        <w:tc>
          <w:tcPr>
            <w:tcW w:w="275" w:type="dxa"/>
            <w:tcBorders/>
            <w:shd w:fill="FFFFFF" w:val="clear"/>
            <w:vAlign w:val="center"/>
          </w:tcPr>
          <w:p>
            <w:pPr>
              <w:pStyle w:val="TableContents"/>
              <w:bidi w:val="0"/>
              <w:spacing w:before="0" w:after="283"/>
              <w:jc w:val="left"/>
              <w:rPr/>
            </w:pPr>
            <w:r>
              <w:rPr/>
              <w:t> </w:t>
            </w:r>
          </w:p>
        </w:tc>
        <w:tc>
          <w:tcPr>
            <w:tcW w:w="9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r>
      <w:tr>
        <w:trPr/>
        <w:tc>
          <w:tcPr>
            <w:tcW w:w="275" w:type="dxa"/>
            <w:tcBorders/>
            <w:shd w:fill="CCEEFF" w:val="clear"/>
            <w:vAlign w:val="center"/>
          </w:tcPr>
          <w:p>
            <w:pPr>
              <w:pStyle w:val="TableContents"/>
              <w:bidi w:val="0"/>
              <w:spacing w:before="0" w:after="283"/>
              <w:jc w:val="left"/>
              <w:rPr/>
            </w:pPr>
            <w:r>
              <w:rPr/>
              <w:t>33</w:t>
            </w:r>
          </w:p>
        </w:tc>
        <w:tc>
          <w:tcPr>
            <w:tcW w:w="9370" w:type="dxa"/>
            <w:tcBorders/>
            <w:shd w:fill="CCEEFF" w:val="clear"/>
            <w:vAlign w:val="center"/>
          </w:tcPr>
          <w:p>
            <w:pPr>
              <w:pStyle w:val="TableContents"/>
              <w:bidi w:val="0"/>
              <w:spacing w:before="0" w:after="283"/>
              <w:jc w:val="left"/>
              <w:rPr/>
            </w:pPr>
            <w:r>
              <w:rPr/>
              <w:t>Shayibake District Karamay West Street George Chanson Bakery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PRC</w:t>
            </w:r>
          </w:p>
        </w:tc>
      </w:tr>
      <w:tr>
        <w:trPr/>
        <w:tc>
          <w:tcPr>
            <w:tcW w:w="275" w:type="dxa"/>
            <w:tcBorders/>
            <w:shd w:fill="FFFFFF" w:val="clear"/>
            <w:vAlign w:val="center"/>
          </w:tcPr>
          <w:p>
            <w:pPr>
              <w:pStyle w:val="TableContents"/>
              <w:bidi w:val="0"/>
              <w:spacing w:before="0" w:after="283"/>
              <w:jc w:val="left"/>
              <w:rPr/>
            </w:pPr>
            <w:r>
              <w:rPr/>
              <w:t> </w:t>
            </w:r>
          </w:p>
        </w:tc>
        <w:tc>
          <w:tcPr>
            <w:tcW w:w="9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r>
      <w:tr>
        <w:trPr/>
        <w:tc>
          <w:tcPr>
            <w:tcW w:w="275" w:type="dxa"/>
            <w:tcBorders/>
            <w:shd w:fill="CCEEFF" w:val="clear"/>
            <w:vAlign w:val="center"/>
          </w:tcPr>
          <w:p>
            <w:pPr>
              <w:pStyle w:val="TableContents"/>
              <w:bidi w:val="0"/>
              <w:spacing w:before="0" w:after="283"/>
              <w:jc w:val="left"/>
              <w:rPr/>
            </w:pPr>
            <w:r>
              <w:rPr/>
              <w:t>34</w:t>
            </w:r>
          </w:p>
        </w:tc>
        <w:tc>
          <w:tcPr>
            <w:tcW w:w="9370" w:type="dxa"/>
            <w:tcBorders/>
            <w:shd w:fill="CCEEFF" w:val="clear"/>
            <w:vAlign w:val="center"/>
          </w:tcPr>
          <w:p>
            <w:pPr>
              <w:pStyle w:val="TableContents"/>
              <w:bidi w:val="0"/>
              <w:spacing w:before="0" w:after="283"/>
              <w:jc w:val="left"/>
              <w:rPr/>
            </w:pPr>
            <w:r>
              <w:rPr/>
              <w:t>Shayibake District, Altay Rd. , Hemeijia George Chanson Bakery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PRC</w:t>
            </w:r>
          </w:p>
        </w:tc>
      </w:tr>
      <w:tr>
        <w:trPr/>
        <w:tc>
          <w:tcPr>
            <w:tcW w:w="275" w:type="dxa"/>
            <w:tcBorders/>
            <w:shd w:fill="FFFFFF" w:val="clear"/>
            <w:vAlign w:val="center"/>
          </w:tcPr>
          <w:p>
            <w:pPr>
              <w:pStyle w:val="TableContents"/>
              <w:bidi w:val="0"/>
              <w:spacing w:before="0" w:after="283"/>
              <w:jc w:val="left"/>
              <w:rPr/>
            </w:pPr>
            <w:r>
              <w:rPr/>
              <w:t> </w:t>
            </w:r>
          </w:p>
        </w:tc>
        <w:tc>
          <w:tcPr>
            <w:tcW w:w="9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r>
      <w:tr>
        <w:trPr/>
        <w:tc>
          <w:tcPr>
            <w:tcW w:w="275" w:type="dxa"/>
            <w:tcBorders/>
            <w:shd w:fill="CCEEFF" w:val="clear"/>
            <w:vAlign w:val="center"/>
          </w:tcPr>
          <w:p>
            <w:pPr>
              <w:pStyle w:val="TableContents"/>
              <w:bidi w:val="0"/>
              <w:spacing w:before="0" w:after="283"/>
              <w:jc w:val="left"/>
              <w:rPr/>
            </w:pPr>
            <w:r>
              <w:rPr/>
              <w:t>35</w:t>
            </w:r>
          </w:p>
        </w:tc>
        <w:tc>
          <w:tcPr>
            <w:tcW w:w="9370" w:type="dxa"/>
            <w:tcBorders/>
            <w:shd w:fill="CCEEFF" w:val="clear"/>
            <w:vAlign w:val="center"/>
          </w:tcPr>
          <w:p>
            <w:pPr>
              <w:pStyle w:val="TableContents"/>
              <w:bidi w:val="0"/>
              <w:spacing w:before="0" w:after="283"/>
              <w:jc w:val="left"/>
              <w:rPr/>
            </w:pPr>
            <w:r>
              <w:rPr/>
              <w:t>Shayibake District, Yangtze River Rd., Hemeijia Chanson Bakery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PRC</w:t>
            </w:r>
          </w:p>
        </w:tc>
      </w:tr>
      <w:tr>
        <w:trPr/>
        <w:tc>
          <w:tcPr>
            <w:tcW w:w="275" w:type="dxa"/>
            <w:tcBorders/>
            <w:shd w:fill="FFFFFF" w:val="clear"/>
            <w:vAlign w:val="center"/>
          </w:tcPr>
          <w:p>
            <w:pPr>
              <w:pStyle w:val="TableContents"/>
              <w:bidi w:val="0"/>
              <w:spacing w:before="0" w:after="283"/>
              <w:jc w:val="left"/>
              <w:rPr/>
            </w:pPr>
            <w:r>
              <w:rPr/>
              <w:t> </w:t>
            </w:r>
          </w:p>
        </w:tc>
        <w:tc>
          <w:tcPr>
            <w:tcW w:w="9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r>
      <w:tr>
        <w:trPr/>
        <w:tc>
          <w:tcPr>
            <w:tcW w:w="275" w:type="dxa"/>
            <w:tcBorders/>
            <w:shd w:fill="CCEEFF" w:val="clear"/>
            <w:vAlign w:val="center"/>
          </w:tcPr>
          <w:p>
            <w:pPr>
              <w:pStyle w:val="TableContents"/>
              <w:bidi w:val="0"/>
              <w:spacing w:before="0" w:after="283"/>
              <w:jc w:val="left"/>
              <w:rPr/>
            </w:pPr>
            <w:r>
              <w:rPr/>
              <w:t>36</w:t>
            </w:r>
          </w:p>
        </w:tc>
        <w:tc>
          <w:tcPr>
            <w:tcW w:w="9370" w:type="dxa"/>
            <w:tcBorders/>
            <w:shd w:fill="CCEEFF" w:val="clear"/>
            <w:vAlign w:val="center"/>
          </w:tcPr>
          <w:p>
            <w:pPr>
              <w:pStyle w:val="TableContents"/>
              <w:bidi w:val="0"/>
              <w:spacing w:before="0" w:after="283"/>
              <w:jc w:val="left"/>
              <w:rPr/>
            </w:pPr>
            <w:r>
              <w:rPr/>
              <w:t>Gaoxin (Xinshi) District Hebei East Rd. George Chanson Hemeijia Bakery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PRC</w:t>
            </w:r>
          </w:p>
        </w:tc>
      </w:tr>
      <w:tr>
        <w:trPr/>
        <w:tc>
          <w:tcPr>
            <w:tcW w:w="275" w:type="dxa"/>
            <w:tcBorders/>
            <w:shd w:fill="FFFFFF" w:val="clear"/>
            <w:vAlign w:val="center"/>
          </w:tcPr>
          <w:p>
            <w:pPr>
              <w:pStyle w:val="TableContents"/>
              <w:bidi w:val="0"/>
              <w:spacing w:before="0" w:after="283"/>
              <w:jc w:val="left"/>
              <w:rPr/>
            </w:pPr>
            <w:r>
              <w:rPr/>
              <w:t> </w:t>
            </w:r>
          </w:p>
        </w:tc>
        <w:tc>
          <w:tcPr>
            <w:tcW w:w="9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sz w:val="4"/>
                <w:szCs w:val="4"/>
              </w:rPr>
            </w:pPr>
            <w:r>
              <w:rPr>
                <w:sz w:val="4"/>
                <w:szCs w:val="4"/>
              </w:rPr>
            </w:r>
          </w:p>
        </w:tc>
      </w:tr>
      <w:tr>
        <w:trPr/>
        <w:tc>
          <w:tcPr>
            <w:tcW w:w="275" w:type="dxa"/>
            <w:tcBorders/>
            <w:shd w:fill="CCEEFF" w:val="clear"/>
            <w:vAlign w:val="center"/>
          </w:tcPr>
          <w:p>
            <w:pPr>
              <w:pStyle w:val="TableContents"/>
              <w:bidi w:val="0"/>
              <w:spacing w:before="0" w:after="283"/>
              <w:jc w:val="left"/>
              <w:rPr/>
            </w:pPr>
            <w:r>
              <w:rPr/>
              <w:t>37</w:t>
            </w:r>
          </w:p>
        </w:tc>
        <w:tc>
          <w:tcPr>
            <w:tcW w:w="9370" w:type="dxa"/>
            <w:tcBorders/>
            <w:shd w:fill="CCEEFF" w:val="clear"/>
            <w:vAlign w:val="center"/>
          </w:tcPr>
          <w:p>
            <w:pPr>
              <w:pStyle w:val="TableContents"/>
              <w:bidi w:val="0"/>
              <w:spacing w:before="0" w:after="283"/>
              <w:jc w:val="left"/>
              <w:rPr/>
            </w:pPr>
            <w:r>
              <w:rPr/>
              <w:t>Tianshan District, Zhongqiao Second Alley, Meijia Song Coffee and Food Shop</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PRC</w:t>
            </w:r>
          </w:p>
        </w:tc>
      </w:tr>
      <w:tr>
        <w:trPr/>
        <w:tc>
          <w:tcPr>
            <w:tcW w:w="275" w:type="dxa"/>
            <w:tcBorders/>
            <w:shd w:fill="FFFFFF" w:val="clear"/>
            <w:vAlign w:val="center"/>
          </w:tcPr>
          <w:p>
            <w:pPr>
              <w:pStyle w:val="TableContents"/>
              <w:bidi w:val="0"/>
              <w:spacing w:before="0" w:after="283"/>
              <w:jc w:val="left"/>
              <w:rPr/>
            </w:pPr>
            <w:r>
              <w:rPr/>
              <w:t> </w:t>
            </w:r>
          </w:p>
        </w:tc>
        <w:tc>
          <w:tcPr>
            <w:tcW w:w="9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sz w:val="4"/>
                <w:szCs w:val="4"/>
              </w:rPr>
            </w:pPr>
            <w:r>
              <w:rPr>
                <w:sz w:val="4"/>
                <w:szCs w:val="4"/>
              </w:rPr>
            </w:r>
          </w:p>
        </w:tc>
      </w:tr>
      <w:tr>
        <w:trPr/>
        <w:tc>
          <w:tcPr>
            <w:tcW w:w="275" w:type="dxa"/>
            <w:tcBorders/>
            <w:shd w:fill="CCEEFF" w:val="clear"/>
            <w:vAlign w:val="center"/>
          </w:tcPr>
          <w:p>
            <w:pPr>
              <w:pStyle w:val="TableContents"/>
              <w:bidi w:val="0"/>
              <w:spacing w:before="0" w:after="283"/>
              <w:jc w:val="left"/>
              <w:rPr/>
            </w:pPr>
            <w:r>
              <w:rPr/>
              <w:t>38</w:t>
            </w:r>
          </w:p>
        </w:tc>
        <w:tc>
          <w:tcPr>
            <w:tcW w:w="9370" w:type="dxa"/>
            <w:tcBorders/>
            <w:shd w:fill="CCEEFF" w:val="clear"/>
            <w:vAlign w:val="center"/>
          </w:tcPr>
          <w:p>
            <w:pPr>
              <w:pStyle w:val="TableContents"/>
              <w:bidi w:val="0"/>
              <w:spacing w:before="0" w:after="283"/>
              <w:jc w:val="left"/>
              <w:rPr/>
            </w:pPr>
            <w:r>
              <w:rPr/>
              <w:t>Gaoxin (Xinshi) District Kashi East Rd. Chanson Hemeijia Bakery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PRC</w:t>
            </w:r>
          </w:p>
        </w:tc>
      </w:tr>
      <w:tr>
        <w:trPr/>
        <w:tc>
          <w:tcPr>
            <w:tcW w:w="275" w:type="dxa"/>
            <w:tcBorders/>
            <w:vAlign w:val="center"/>
          </w:tcPr>
          <w:p>
            <w:pPr>
              <w:pStyle w:val="TableContents"/>
              <w:bidi w:val="0"/>
              <w:spacing w:before="0" w:after="283"/>
              <w:jc w:val="left"/>
              <w:rPr/>
            </w:pPr>
            <w:r>
              <w:rPr/>
              <w:t> </w:t>
            </w:r>
          </w:p>
        </w:tc>
        <w:tc>
          <w:tcPr>
            <w:tcW w:w="9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sz w:val="4"/>
                <w:szCs w:val="4"/>
              </w:rPr>
            </w:pPr>
            <w:r>
              <w:rPr>
                <w:sz w:val="4"/>
                <w:szCs w:val="4"/>
              </w:rPr>
            </w:r>
          </w:p>
        </w:tc>
      </w:tr>
      <w:tr>
        <w:trPr/>
        <w:tc>
          <w:tcPr>
            <w:tcW w:w="275" w:type="dxa"/>
            <w:tcBorders/>
            <w:shd w:fill="CCEEFF" w:val="clear"/>
            <w:vAlign w:val="center"/>
          </w:tcPr>
          <w:p>
            <w:pPr>
              <w:pStyle w:val="TableContents"/>
              <w:bidi w:val="0"/>
              <w:spacing w:before="0" w:after="283"/>
              <w:jc w:val="left"/>
              <w:rPr/>
            </w:pPr>
            <w:r>
              <w:rPr/>
              <w:t>39</w:t>
            </w:r>
          </w:p>
        </w:tc>
        <w:tc>
          <w:tcPr>
            <w:tcW w:w="9370" w:type="dxa"/>
            <w:tcBorders/>
            <w:shd w:fill="CCEEFF" w:val="clear"/>
            <w:vAlign w:val="center"/>
          </w:tcPr>
          <w:p>
            <w:pPr>
              <w:pStyle w:val="TableContents"/>
              <w:bidi w:val="0"/>
              <w:spacing w:before="0" w:after="283"/>
              <w:jc w:val="left"/>
              <w:rPr/>
            </w:pPr>
            <w:r>
              <w:rPr/>
              <w:t xml:space="preserve">Gaoxin (Xinshi) District Kashi East Rd. Hemeijia Song Coffee and Food Shop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PRC</w:t>
            </w:r>
          </w:p>
        </w:tc>
      </w:tr>
      <w:tr>
        <w:trPr/>
        <w:tc>
          <w:tcPr>
            <w:tcW w:w="275" w:type="dxa"/>
            <w:tcBorders/>
            <w:shd w:fill="FFFFFF" w:val="clear"/>
            <w:vAlign w:val="center"/>
          </w:tcPr>
          <w:p>
            <w:pPr>
              <w:pStyle w:val="TableContents"/>
              <w:bidi w:val="0"/>
              <w:spacing w:before="0" w:after="283"/>
              <w:jc w:val="left"/>
              <w:rPr/>
            </w:pPr>
            <w:r>
              <w:rPr/>
              <w:t> </w:t>
            </w:r>
          </w:p>
        </w:tc>
        <w:tc>
          <w:tcPr>
            <w:tcW w:w="9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sz w:val="4"/>
                <w:szCs w:val="4"/>
              </w:rPr>
            </w:pPr>
            <w:r>
              <w:rPr>
                <w:sz w:val="4"/>
                <w:szCs w:val="4"/>
              </w:rPr>
            </w:r>
          </w:p>
        </w:tc>
      </w:tr>
      <w:tr>
        <w:trPr/>
        <w:tc>
          <w:tcPr>
            <w:tcW w:w="275" w:type="dxa"/>
            <w:tcBorders/>
            <w:shd w:fill="CCEEFF" w:val="clear"/>
            <w:vAlign w:val="center"/>
          </w:tcPr>
          <w:p>
            <w:pPr>
              <w:pStyle w:val="TableContents"/>
              <w:bidi w:val="0"/>
              <w:spacing w:before="0" w:after="283"/>
              <w:jc w:val="left"/>
              <w:rPr/>
            </w:pPr>
            <w:r>
              <w:rPr/>
              <w:t>40</w:t>
            </w:r>
          </w:p>
        </w:tc>
        <w:tc>
          <w:tcPr>
            <w:tcW w:w="9370" w:type="dxa"/>
            <w:tcBorders/>
            <w:shd w:fill="CCEEFF" w:val="clear"/>
            <w:vAlign w:val="center"/>
          </w:tcPr>
          <w:p>
            <w:pPr>
              <w:pStyle w:val="TableContents"/>
              <w:bidi w:val="0"/>
              <w:spacing w:before="0" w:after="283"/>
              <w:jc w:val="left"/>
              <w:rPr/>
            </w:pPr>
            <w:r>
              <w:rPr/>
              <w:t>Gaoxin (Xinshi) District Dongzhan Rd. Chansong Hemeijia Bakery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PRC</w:t>
            </w:r>
          </w:p>
        </w:tc>
      </w:tr>
      <w:tr>
        <w:trPr/>
        <w:tc>
          <w:tcPr>
            <w:tcW w:w="275" w:type="dxa"/>
            <w:tcBorders/>
            <w:shd w:fill="FFFFFF" w:val="clear"/>
            <w:vAlign w:val="center"/>
          </w:tcPr>
          <w:p>
            <w:pPr>
              <w:pStyle w:val="TableContents"/>
              <w:bidi w:val="0"/>
              <w:spacing w:before="0" w:after="283"/>
              <w:jc w:val="left"/>
              <w:rPr/>
            </w:pPr>
            <w:r>
              <w:rPr/>
              <w:t> </w:t>
            </w:r>
          </w:p>
        </w:tc>
        <w:tc>
          <w:tcPr>
            <w:tcW w:w="9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sz w:val="4"/>
                <w:szCs w:val="4"/>
              </w:rPr>
            </w:pPr>
            <w:r>
              <w:rPr>
                <w:sz w:val="4"/>
                <w:szCs w:val="4"/>
              </w:rPr>
            </w:r>
          </w:p>
        </w:tc>
      </w:tr>
      <w:tr>
        <w:trPr/>
        <w:tc>
          <w:tcPr>
            <w:tcW w:w="275" w:type="dxa"/>
            <w:tcBorders/>
            <w:shd w:fill="CCEEFF" w:val="clear"/>
            <w:vAlign w:val="center"/>
          </w:tcPr>
          <w:p>
            <w:pPr>
              <w:pStyle w:val="TableContents"/>
              <w:bidi w:val="0"/>
              <w:spacing w:before="0" w:after="283"/>
              <w:jc w:val="left"/>
              <w:rPr/>
            </w:pPr>
            <w:r>
              <w:rPr/>
              <w:t>41</w:t>
            </w:r>
          </w:p>
        </w:tc>
        <w:tc>
          <w:tcPr>
            <w:tcW w:w="9370" w:type="dxa"/>
            <w:tcBorders/>
            <w:shd w:fill="CCEEFF" w:val="clear"/>
            <w:vAlign w:val="center"/>
          </w:tcPr>
          <w:p>
            <w:pPr>
              <w:pStyle w:val="TableContents"/>
              <w:bidi w:val="0"/>
              <w:spacing w:before="0" w:after="283"/>
              <w:jc w:val="left"/>
              <w:rPr/>
            </w:pPr>
            <w:r>
              <w:rPr/>
              <w:t>Urumqi Midong District Chanson Bakery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PRC</w:t>
            </w:r>
          </w:p>
        </w:tc>
      </w:tr>
      <w:tr>
        <w:trPr/>
        <w:tc>
          <w:tcPr>
            <w:tcW w:w="275" w:type="dxa"/>
            <w:tcBorders/>
            <w:shd w:fill="FFFFFF" w:val="clear"/>
            <w:vAlign w:val="center"/>
          </w:tcPr>
          <w:p>
            <w:pPr>
              <w:pStyle w:val="TableContents"/>
              <w:bidi w:val="0"/>
              <w:spacing w:before="0" w:after="283"/>
              <w:jc w:val="left"/>
              <w:rPr/>
            </w:pPr>
            <w:r>
              <w:rPr/>
              <w:t> </w:t>
            </w:r>
          </w:p>
        </w:tc>
        <w:tc>
          <w:tcPr>
            <w:tcW w:w="9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sz w:val="4"/>
                <w:szCs w:val="4"/>
              </w:rPr>
            </w:pPr>
            <w:r>
              <w:rPr>
                <w:sz w:val="4"/>
                <w:szCs w:val="4"/>
              </w:rPr>
            </w:r>
          </w:p>
        </w:tc>
      </w:tr>
      <w:tr>
        <w:trPr/>
        <w:tc>
          <w:tcPr>
            <w:tcW w:w="275" w:type="dxa"/>
            <w:tcBorders/>
            <w:shd w:fill="CCEEFF" w:val="clear"/>
            <w:vAlign w:val="center"/>
          </w:tcPr>
          <w:p>
            <w:pPr>
              <w:pStyle w:val="TableContents"/>
              <w:bidi w:val="0"/>
              <w:spacing w:before="0" w:after="283"/>
              <w:jc w:val="left"/>
              <w:rPr/>
            </w:pPr>
            <w:r>
              <w:rPr/>
              <w:t>42</w:t>
            </w:r>
          </w:p>
        </w:tc>
        <w:tc>
          <w:tcPr>
            <w:tcW w:w="9370" w:type="dxa"/>
            <w:tcBorders/>
            <w:shd w:fill="CCEEFF" w:val="clear"/>
            <w:vAlign w:val="center"/>
          </w:tcPr>
          <w:p>
            <w:pPr>
              <w:pStyle w:val="TableContents"/>
              <w:bidi w:val="0"/>
              <w:spacing w:before="0" w:after="283"/>
              <w:jc w:val="left"/>
              <w:rPr/>
            </w:pPr>
            <w:r>
              <w:rPr/>
              <w:t>Gaoxin (Xinshi) District Changchun Middle Rd. George CHanson Bakery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PRC</w:t>
            </w:r>
          </w:p>
        </w:tc>
      </w:tr>
      <w:tr>
        <w:trPr/>
        <w:tc>
          <w:tcPr>
            <w:tcW w:w="275" w:type="dxa"/>
            <w:tcBorders/>
            <w:shd w:fill="FFFFFF" w:val="clear"/>
            <w:vAlign w:val="center"/>
          </w:tcPr>
          <w:p>
            <w:pPr>
              <w:pStyle w:val="TableContents"/>
              <w:bidi w:val="0"/>
              <w:spacing w:before="0" w:after="283"/>
              <w:jc w:val="left"/>
              <w:rPr/>
            </w:pPr>
            <w:r>
              <w:rPr/>
              <w:t> </w:t>
            </w:r>
          </w:p>
        </w:tc>
        <w:tc>
          <w:tcPr>
            <w:tcW w:w="9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sz w:val="4"/>
                <w:szCs w:val="4"/>
              </w:rPr>
            </w:pPr>
            <w:r>
              <w:rPr>
                <w:sz w:val="4"/>
                <w:szCs w:val="4"/>
              </w:rPr>
            </w:r>
          </w:p>
        </w:tc>
      </w:tr>
      <w:tr>
        <w:trPr/>
        <w:tc>
          <w:tcPr>
            <w:tcW w:w="275" w:type="dxa"/>
            <w:tcBorders/>
            <w:shd w:fill="CCEEFF" w:val="clear"/>
            <w:vAlign w:val="center"/>
          </w:tcPr>
          <w:p>
            <w:pPr>
              <w:pStyle w:val="TableContents"/>
              <w:bidi w:val="0"/>
              <w:spacing w:before="0" w:after="283"/>
              <w:jc w:val="left"/>
              <w:rPr/>
            </w:pPr>
            <w:r>
              <w:rPr/>
              <w:t>43</w:t>
            </w:r>
          </w:p>
        </w:tc>
        <w:tc>
          <w:tcPr>
            <w:tcW w:w="9370" w:type="dxa"/>
            <w:tcBorders/>
            <w:shd w:fill="CCEEFF" w:val="clear"/>
            <w:vAlign w:val="center"/>
          </w:tcPr>
          <w:p>
            <w:pPr>
              <w:pStyle w:val="TableContents"/>
              <w:bidi w:val="0"/>
              <w:spacing w:before="0" w:after="283"/>
              <w:jc w:val="left"/>
              <w:rPr/>
            </w:pPr>
            <w:r>
              <w:rPr/>
              <w:t>Gaoxin (Xinshi) Distroct Beijing North Rd. Chanson Meijia Bakery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PRC</w:t>
            </w:r>
          </w:p>
        </w:tc>
      </w:tr>
      <w:tr>
        <w:trPr/>
        <w:tc>
          <w:tcPr>
            <w:tcW w:w="275" w:type="dxa"/>
            <w:tcBorders/>
            <w:shd w:fill="FFFFFF" w:val="clear"/>
            <w:vAlign w:val="center"/>
          </w:tcPr>
          <w:p>
            <w:pPr>
              <w:pStyle w:val="TableContents"/>
              <w:bidi w:val="0"/>
              <w:spacing w:before="0" w:after="283"/>
              <w:jc w:val="left"/>
              <w:rPr/>
            </w:pPr>
            <w:r>
              <w:rPr/>
              <w:t> </w:t>
            </w:r>
          </w:p>
        </w:tc>
        <w:tc>
          <w:tcPr>
            <w:tcW w:w="9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sz w:val="4"/>
                <w:szCs w:val="4"/>
              </w:rPr>
            </w:pPr>
            <w:r>
              <w:rPr>
                <w:sz w:val="4"/>
                <w:szCs w:val="4"/>
              </w:rPr>
            </w:r>
          </w:p>
        </w:tc>
      </w:tr>
      <w:tr>
        <w:trPr/>
        <w:tc>
          <w:tcPr>
            <w:tcW w:w="275" w:type="dxa"/>
            <w:tcBorders/>
            <w:shd w:fill="CCEEFF" w:val="clear"/>
            <w:vAlign w:val="center"/>
          </w:tcPr>
          <w:p>
            <w:pPr>
              <w:pStyle w:val="TableContents"/>
              <w:bidi w:val="0"/>
              <w:spacing w:before="0" w:after="283"/>
              <w:jc w:val="left"/>
              <w:rPr/>
            </w:pPr>
            <w:r>
              <w:rPr/>
              <w:t>44</w:t>
            </w:r>
          </w:p>
        </w:tc>
        <w:tc>
          <w:tcPr>
            <w:tcW w:w="9370" w:type="dxa"/>
            <w:tcBorders/>
            <w:shd w:fill="CCEEFF" w:val="clear"/>
            <w:vAlign w:val="center"/>
          </w:tcPr>
          <w:p>
            <w:pPr>
              <w:pStyle w:val="TableContents"/>
              <w:bidi w:val="0"/>
              <w:spacing w:before="0" w:after="283"/>
              <w:jc w:val="left"/>
              <w:rPr/>
            </w:pPr>
            <w:r>
              <w:rPr/>
              <w:t>Tianshan District Jianquan No.3 Rd. George Chanson Bakery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PRC</w:t>
            </w:r>
          </w:p>
        </w:tc>
      </w:tr>
      <w:tr>
        <w:trPr/>
        <w:tc>
          <w:tcPr>
            <w:tcW w:w="275" w:type="dxa"/>
            <w:tcBorders/>
            <w:shd w:fill="FFFFFF" w:val="clear"/>
            <w:vAlign w:val="center"/>
          </w:tcPr>
          <w:p>
            <w:pPr>
              <w:pStyle w:val="TableContents"/>
              <w:bidi w:val="0"/>
              <w:spacing w:before="0" w:after="283"/>
              <w:jc w:val="left"/>
              <w:rPr/>
            </w:pPr>
            <w:r>
              <w:rPr/>
              <w:t> </w:t>
            </w:r>
          </w:p>
        </w:tc>
        <w:tc>
          <w:tcPr>
            <w:tcW w:w="9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sz w:val="4"/>
                <w:szCs w:val="4"/>
              </w:rPr>
            </w:pPr>
            <w:r>
              <w:rPr>
                <w:sz w:val="4"/>
                <w:szCs w:val="4"/>
              </w:rPr>
            </w:r>
          </w:p>
        </w:tc>
      </w:tr>
      <w:tr>
        <w:trPr/>
        <w:tc>
          <w:tcPr>
            <w:tcW w:w="275" w:type="dxa"/>
            <w:tcBorders/>
            <w:shd w:fill="CCEEFF" w:val="clear"/>
            <w:vAlign w:val="center"/>
          </w:tcPr>
          <w:p>
            <w:pPr>
              <w:pStyle w:val="TableContents"/>
              <w:bidi w:val="0"/>
              <w:spacing w:before="0" w:after="283"/>
              <w:jc w:val="left"/>
              <w:rPr/>
            </w:pPr>
            <w:r>
              <w:rPr/>
              <w:t>45</w:t>
            </w:r>
          </w:p>
        </w:tc>
        <w:tc>
          <w:tcPr>
            <w:tcW w:w="9370" w:type="dxa"/>
            <w:tcBorders/>
            <w:shd w:fill="CCEEFF" w:val="clear"/>
            <w:vAlign w:val="center"/>
          </w:tcPr>
          <w:p>
            <w:pPr>
              <w:pStyle w:val="TableContents"/>
              <w:bidi w:val="0"/>
              <w:spacing w:before="0" w:after="283"/>
              <w:jc w:val="left"/>
              <w:rPr/>
            </w:pPr>
            <w:r>
              <w:rPr/>
              <w:t>Urumqi Economics and Technology Development District George Chanson Bakery on Xuanwuhu Rd.</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PRC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160" w:type="dxa"/>
        <w:jc w:val="left"/>
        <w:tblInd w:w="0" w:type="dxa"/>
        <w:tblLayout w:type="fixed"/>
        <w:tblCellMar>
          <w:top w:w="0" w:type="dxa"/>
          <w:left w:w="0" w:type="dxa"/>
          <w:bottom w:w="0" w:type="dxa"/>
          <w:right w:w="0" w:type="dxa"/>
        </w:tblCellMar>
      </w:tblPr>
      <w:tblGrid>
        <w:gridCol w:w="275"/>
        <w:gridCol w:w="7325"/>
        <w:gridCol w:w="60"/>
        <w:gridCol w:w="500"/>
      </w:tblGrid>
      <w:tr>
        <w:trPr/>
        <w:tc>
          <w:tcPr>
            <w:tcW w:w="275" w:type="dxa"/>
            <w:tcBorders/>
            <w:shd w:fill="CCEEFF" w:val="clear"/>
            <w:vAlign w:val="center"/>
          </w:tcPr>
          <w:p>
            <w:pPr>
              <w:pStyle w:val="TableContents"/>
              <w:bidi w:val="0"/>
              <w:spacing w:before="0" w:after="283"/>
              <w:jc w:val="left"/>
              <w:rPr/>
            </w:pPr>
            <w:r>
              <w:rPr/>
              <w:t>46</w:t>
            </w:r>
          </w:p>
        </w:tc>
        <w:tc>
          <w:tcPr>
            <w:tcW w:w="7325" w:type="dxa"/>
            <w:tcBorders/>
            <w:shd w:fill="CCEEFF" w:val="clear"/>
            <w:vAlign w:val="center"/>
          </w:tcPr>
          <w:p>
            <w:pPr>
              <w:pStyle w:val="TableContents"/>
              <w:bidi w:val="0"/>
              <w:spacing w:before="0" w:after="283"/>
              <w:jc w:val="left"/>
              <w:rPr/>
            </w:pPr>
            <w:r>
              <w:rPr/>
              <w:t>Xinshi District Suzhou East Rd. Chanson Bakery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PRC</w:t>
            </w:r>
          </w:p>
        </w:tc>
      </w:tr>
      <w:tr>
        <w:trPr/>
        <w:tc>
          <w:tcPr>
            <w:tcW w:w="275" w:type="dxa"/>
            <w:tcBorders/>
            <w:shd w:fill="FFFFFF" w:val="clear"/>
            <w:vAlign w:val="center"/>
          </w:tcPr>
          <w:p>
            <w:pPr>
              <w:pStyle w:val="TableContents"/>
              <w:bidi w:val="0"/>
              <w:spacing w:before="0" w:after="283"/>
              <w:jc w:val="left"/>
              <w:rPr/>
            </w:pPr>
            <w:r>
              <w:rPr/>
              <w:t> </w:t>
            </w:r>
          </w:p>
        </w:tc>
        <w:tc>
          <w:tcPr>
            <w:tcW w:w="7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r>
      <w:tr>
        <w:trPr/>
        <w:tc>
          <w:tcPr>
            <w:tcW w:w="275" w:type="dxa"/>
            <w:tcBorders/>
            <w:shd w:fill="CCEEFF" w:val="clear"/>
            <w:vAlign w:val="center"/>
          </w:tcPr>
          <w:p>
            <w:pPr>
              <w:pStyle w:val="TableContents"/>
              <w:bidi w:val="0"/>
              <w:spacing w:before="0" w:after="283"/>
              <w:jc w:val="left"/>
              <w:rPr/>
            </w:pPr>
            <w:r>
              <w:rPr/>
              <w:t>47</w:t>
            </w:r>
          </w:p>
        </w:tc>
        <w:tc>
          <w:tcPr>
            <w:tcW w:w="7325" w:type="dxa"/>
            <w:tcBorders/>
            <w:shd w:fill="CCEEFF" w:val="clear"/>
            <w:vAlign w:val="center"/>
          </w:tcPr>
          <w:p>
            <w:pPr>
              <w:pStyle w:val="TableContents"/>
              <w:bidi w:val="0"/>
              <w:spacing w:before="0" w:after="283"/>
              <w:jc w:val="left"/>
              <w:rPr/>
            </w:pPr>
            <w:r>
              <w:rPr/>
              <w:t>Shuimogou District Hongguangshan Rd. Chanson Bakery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PRC</w:t>
            </w:r>
          </w:p>
        </w:tc>
      </w:tr>
      <w:tr>
        <w:trPr/>
        <w:tc>
          <w:tcPr>
            <w:tcW w:w="275" w:type="dxa"/>
            <w:tcBorders/>
            <w:shd w:fill="FFFFFF" w:val="clear"/>
            <w:vAlign w:val="center"/>
          </w:tcPr>
          <w:p>
            <w:pPr>
              <w:pStyle w:val="TableContents"/>
              <w:bidi w:val="0"/>
              <w:spacing w:before="0" w:after="283"/>
              <w:jc w:val="left"/>
              <w:rPr/>
            </w:pPr>
            <w:r>
              <w:rPr/>
              <w:t> </w:t>
            </w:r>
          </w:p>
        </w:tc>
        <w:tc>
          <w:tcPr>
            <w:tcW w:w="7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r>
      <w:tr>
        <w:trPr/>
        <w:tc>
          <w:tcPr>
            <w:tcW w:w="275" w:type="dxa"/>
            <w:tcBorders/>
            <w:shd w:fill="CCEEFF" w:val="clear"/>
            <w:vAlign w:val="center"/>
          </w:tcPr>
          <w:p>
            <w:pPr>
              <w:pStyle w:val="TableContents"/>
              <w:bidi w:val="0"/>
              <w:spacing w:before="0" w:after="283"/>
              <w:jc w:val="left"/>
              <w:rPr/>
            </w:pPr>
            <w:r>
              <w:rPr/>
              <w:t>48</w:t>
            </w:r>
          </w:p>
        </w:tc>
        <w:tc>
          <w:tcPr>
            <w:tcW w:w="7325" w:type="dxa"/>
            <w:tcBorders/>
            <w:shd w:fill="CCEEFF" w:val="clear"/>
            <w:vAlign w:val="center"/>
          </w:tcPr>
          <w:p>
            <w:pPr>
              <w:pStyle w:val="TableContents"/>
              <w:bidi w:val="0"/>
              <w:spacing w:before="0" w:after="283"/>
              <w:jc w:val="left"/>
              <w:rPr/>
            </w:pPr>
            <w:r>
              <w:rPr/>
              <w:t>Xinshi District Beijing Middle Rd. United Family Chanson Bakery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PRC</w:t>
            </w:r>
          </w:p>
        </w:tc>
      </w:tr>
      <w:tr>
        <w:trPr/>
        <w:tc>
          <w:tcPr>
            <w:tcW w:w="275" w:type="dxa"/>
            <w:tcBorders/>
            <w:shd w:fill="FFFFFF" w:val="clear"/>
            <w:vAlign w:val="center"/>
          </w:tcPr>
          <w:p>
            <w:pPr>
              <w:pStyle w:val="TableContents"/>
              <w:bidi w:val="0"/>
              <w:spacing w:before="0" w:after="283"/>
              <w:jc w:val="left"/>
              <w:rPr/>
            </w:pPr>
            <w:r>
              <w:rPr/>
              <w:t> </w:t>
            </w:r>
          </w:p>
        </w:tc>
        <w:tc>
          <w:tcPr>
            <w:tcW w:w="7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r>
      <w:tr>
        <w:trPr/>
        <w:tc>
          <w:tcPr>
            <w:tcW w:w="275" w:type="dxa"/>
            <w:tcBorders/>
            <w:shd w:fill="CCEEFF" w:val="clear"/>
            <w:vAlign w:val="center"/>
          </w:tcPr>
          <w:p>
            <w:pPr>
              <w:pStyle w:val="TableContents"/>
              <w:bidi w:val="0"/>
              <w:spacing w:before="0" w:after="283"/>
              <w:jc w:val="left"/>
              <w:rPr/>
            </w:pPr>
            <w:r>
              <w:rPr/>
              <w:t>49</w:t>
            </w:r>
          </w:p>
        </w:tc>
        <w:tc>
          <w:tcPr>
            <w:tcW w:w="7325" w:type="dxa"/>
            <w:tcBorders/>
            <w:shd w:fill="CCEEFF" w:val="clear"/>
            <w:vAlign w:val="center"/>
          </w:tcPr>
          <w:p>
            <w:pPr>
              <w:pStyle w:val="TableContents"/>
              <w:bidi w:val="0"/>
              <w:spacing w:before="0" w:after="283"/>
              <w:jc w:val="left"/>
              <w:rPr/>
            </w:pPr>
            <w:r>
              <w:rPr/>
              <w:t>Gaoxin (Xinshi) District South No.3 Rd. Chanson Bakery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PRC</w:t>
            </w:r>
          </w:p>
        </w:tc>
      </w:tr>
      <w:tr>
        <w:trPr/>
        <w:tc>
          <w:tcPr>
            <w:tcW w:w="275" w:type="dxa"/>
            <w:tcBorders/>
            <w:shd w:fill="FFFFFF" w:val="clear"/>
            <w:vAlign w:val="center"/>
          </w:tcPr>
          <w:p>
            <w:pPr>
              <w:pStyle w:val="TableContents"/>
              <w:bidi w:val="0"/>
              <w:spacing w:before="0" w:after="283"/>
              <w:jc w:val="left"/>
              <w:rPr/>
            </w:pPr>
            <w:r>
              <w:rPr/>
              <w:t> </w:t>
            </w:r>
          </w:p>
        </w:tc>
        <w:tc>
          <w:tcPr>
            <w:tcW w:w="7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r>
      <w:tr>
        <w:trPr/>
        <w:tc>
          <w:tcPr>
            <w:tcW w:w="275" w:type="dxa"/>
            <w:tcBorders/>
            <w:shd w:fill="CCEEFF" w:val="clear"/>
            <w:vAlign w:val="center"/>
          </w:tcPr>
          <w:p>
            <w:pPr>
              <w:pStyle w:val="TableContents"/>
              <w:bidi w:val="0"/>
              <w:spacing w:before="0" w:after="283"/>
              <w:jc w:val="left"/>
              <w:rPr/>
            </w:pPr>
            <w:r>
              <w:rPr/>
              <w:t>50</w:t>
            </w:r>
          </w:p>
        </w:tc>
        <w:tc>
          <w:tcPr>
            <w:tcW w:w="7325" w:type="dxa"/>
            <w:tcBorders/>
            <w:shd w:fill="CCEEFF" w:val="clear"/>
            <w:vAlign w:val="center"/>
          </w:tcPr>
          <w:p>
            <w:pPr>
              <w:pStyle w:val="TableContents"/>
              <w:bidi w:val="0"/>
              <w:spacing w:before="0" w:after="283"/>
              <w:jc w:val="left"/>
              <w:rPr/>
            </w:pPr>
            <w:r>
              <w:rPr/>
              <w:t>Urumqi Midong George Chanson Bakery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PRC</w:t>
            </w:r>
          </w:p>
        </w:tc>
      </w:tr>
      <w:tr>
        <w:trPr/>
        <w:tc>
          <w:tcPr>
            <w:tcW w:w="275" w:type="dxa"/>
            <w:tcBorders/>
            <w:shd w:fill="FFFFFF" w:val="clear"/>
            <w:vAlign w:val="center"/>
          </w:tcPr>
          <w:p>
            <w:pPr>
              <w:pStyle w:val="TableContents"/>
              <w:bidi w:val="0"/>
              <w:spacing w:before="0" w:after="283"/>
              <w:jc w:val="left"/>
              <w:rPr/>
            </w:pPr>
            <w:r>
              <w:rPr/>
              <w:t> </w:t>
            </w:r>
          </w:p>
        </w:tc>
        <w:tc>
          <w:tcPr>
            <w:tcW w:w="7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r>
      <w:tr>
        <w:trPr/>
        <w:tc>
          <w:tcPr>
            <w:tcW w:w="275" w:type="dxa"/>
            <w:tcBorders/>
            <w:shd w:fill="CCEEFF" w:val="clear"/>
            <w:vAlign w:val="center"/>
          </w:tcPr>
          <w:p>
            <w:pPr>
              <w:pStyle w:val="TableContents"/>
              <w:bidi w:val="0"/>
              <w:spacing w:before="0" w:after="283"/>
              <w:jc w:val="left"/>
              <w:rPr/>
            </w:pPr>
            <w:r>
              <w:rPr/>
              <w:t>51</w:t>
            </w:r>
          </w:p>
        </w:tc>
        <w:tc>
          <w:tcPr>
            <w:tcW w:w="7325" w:type="dxa"/>
            <w:tcBorders/>
            <w:shd w:fill="CCEEFF" w:val="clear"/>
            <w:vAlign w:val="center"/>
          </w:tcPr>
          <w:p>
            <w:pPr>
              <w:pStyle w:val="TableContents"/>
              <w:bidi w:val="0"/>
              <w:spacing w:before="0" w:after="283"/>
              <w:jc w:val="left"/>
              <w:rPr/>
            </w:pPr>
            <w:r>
              <w:rPr/>
              <w:t>Shayibake District Youhao South Rd. Chanson Bakery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PRC</w:t>
            </w:r>
          </w:p>
        </w:tc>
      </w:tr>
      <w:tr>
        <w:trPr/>
        <w:tc>
          <w:tcPr>
            <w:tcW w:w="275" w:type="dxa"/>
            <w:tcBorders/>
            <w:shd w:fill="FFFFFF" w:val="clear"/>
            <w:vAlign w:val="center"/>
          </w:tcPr>
          <w:p>
            <w:pPr>
              <w:pStyle w:val="TableContents"/>
              <w:bidi w:val="0"/>
              <w:spacing w:before="0" w:after="283"/>
              <w:jc w:val="left"/>
              <w:rPr/>
            </w:pPr>
            <w:r>
              <w:rPr/>
              <w:t> </w:t>
            </w:r>
          </w:p>
        </w:tc>
        <w:tc>
          <w:tcPr>
            <w:tcW w:w="7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r>
      <w:tr>
        <w:trPr/>
        <w:tc>
          <w:tcPr>
            <w:tcW w:w="275" w:type="dxa"/>
            <w:tcBorders/>
            <w:shd w:fill="CCEEFF" w:val="clear"/>
            <w:vAlign w:val="center"/>
          </w:tcPr>
          <w:p>
            <w:pPr>
              <w:pStyle w:val="TableContents"/>
              <w:bidi w:val="0"/>
              <w:spacing w:before="0" w:after="283"/>
              <w:jc w:val="left"/>
              <w:rPr/>
            </w:pPr>
            <w:r>
              <w:rPr/>
              <w:t>52</w:t>
            </w:r>
          </w:p>
        </w:tc>
        <w:tc>
          <w:tcPr>
            <w:tcW w:w="7325" w:type="dxa"/>
            <w:tcBorders/>
            <w:shd w:fill="CCEEFF" w:val="clear"/>
            <w:vAlign w:val="center"/>
          </w:tcPr>
          <w:p>
            <w:pPr>
              <w:pStyle w:val="TableContents"/>
              <w:bidi w:val="0"/>
              <w:spacing w:before="0" w:after="283"/>
              <w:jc w:val="left"/>
              <w:rPr/>
            </w:pPr>
            <w:r>
              <w:rPr/>
              <w:t>Xinshi District Changchun North Rd. Chanson Bakery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PRC</w:t>
            </w:r>
          </w:p>
        </w:tc>
      </w:tr>
      <w:tr>
        <w:trPr/>
        <w:tc>
          <w:tcPr>
            <w:tcW w:w="275" w:type="dxa"/>
            <w:tcBorders/>
            <w:shd w:fill="FFFFFF" w:val="clear"/>
            <w:vAlign w:val="center"/>
          </w:tcPr>
          <w:p>
            <w:pPr>
              <w:pStyle w:val="TableContents"/>
              <w:bidi w:val="0"/>
              <w:spacing w:before="0" w:after="283"/>
              <w:jc w:val="left"/>
              <w:rPr/>
            </w:pPr>
            <w:r>
              <w:rPr/>
              <w:t> </w:t>
            </w:r>
          </w:p>
        </w:tc>
        <w:tc>
          <w:tcPr>
            <w:tcW w:w="7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r>
      <w:tr>
        <w:trPr/>
        <w:tc>
          <w:tcPr>
            <w:tcW w:w="275" w:type="dxa"/>
            <w:tcBorders/>
            <w:shd w:fill="CCEEFF" w:val="clear"/>
            <w:vAlign w:val="center"/>
          </w:tcPr>
          <w:p>
            <w:pPr>
              <w:pStyle w:val="TableContents"/>
              <w:bidi w:val="0"/>
              <w:spacing w:before="0" w:after="283"/>
              <w:jc w:val="left"/>
              <w:rPr/>
            </w:pPr>
            <w:r>
              <w:rPr/>
              <w:t>53</w:t>
            </w:r>
          </w:p>
        </w:tc>
        <w:tc>
          <w:tcPr>
            <w:tcW w:w="7325" w:type="dxa"/>
            <w:tcBorders/>
            <w:shd w:fill="CCEEFF" w:val="clear"/>
            <w:vAlign w:val="center"/>
          </w:tcPr>
          <w:p>
            <w:pPr>
              <w:pStyle w:val="TableContents"/>
              <w:bidi w:val="0"/>
              <w:spacing w:before="0" w:after="283"/>
              <w:jc w:val="left"/>
              <w:rPr/>
            </w:pPr>
            <w:r>
              <w:rPr/>
              <w:t>Shuimogou District Wenquan North Rd. Hemeijia Chanson Bakery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PRC</w:t>
            </w:r>
          </w:p>
        </w:tc>
      </w:tr>
      <w:tr>
        <w:trPr/>
        <w:tc>
          <w:tcPr>
            <w:tcW w:w="275" w:type="dxa"/>
            <w:tcBorders/>
            <w:shd w:fill="FFFFFF" w:val="clear"/>
            <w:vAlign w:val="center"/>
          </w:tcPr>
          <w:p>
            <w:pPr>
              <w:pStyle w:val="TableContents"/>
              <w:bidi w:val="0"/>
              <w:spacing w:before="0" w:after="283"/>
              <w:jc w:val="left"/>
              <w:rPr/>
            </w:pPr>
            <w:r>
              <w:rPr/>
              <w:t> </w:t>
            </w:r>
          </w:p>
        </w:tc>
        <w:tc>
          <w:tcPr>
            <w:tcW w:w="7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r>
      <w:tr>
        <w:trPr/>
        <w:tc>
          <w:tcPr>
            <w:tcW w:w="275" w:type="dxa"/>
            <w:tcBorders/>
            <w:shd w:fill="CCEEFF" w:val="clear"/>
            <w:vAlign w:val="center"/>
          </w:tcPr>
          <w:p>
            <w:pPr>
              <w:pStyle w:val="TableContents"/>
              <w:bidi w:val="0"/>
              <w:spacing w:before="0" w:after="283"/>
              <w:jc w:val="left"/>
              <w:rPr/>
            </w:pPr>
            <w:r>
              <w:rPr/>
              <w:t>54</w:t>
            </w:r>
          </w:p>
        </w:tc>
        <w:tc>
          <w:tcPr>
            <w:tcW w:w="7325" w:type="dxa"/>
            <w:tcBorders/>
            <w:shd w:fill="CCEEFF" w:val="clear"/>
            <w:vAlign w:val="center"/>
          </w:tcPr>
          <w:p>
            <w:pPr>
              <w:pStyle w:val="TableContents"/>
              <w:bidi w:val="0"/>
              <w:spacing w:before="0" w:after="283"/>
              <w:jc w:val="left"/>
              <w:rPr/>
            </w:pPr>
            <w:r>
              <w:rPr/>
              <w:t>Xinjiang United Family Trading Co., Ltd. Chanson Bakery Urumqi Branch</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PRC</w:t>
            </w:r>
          </w:p>
        </w:tc>
      </w:tr>
      <w:tr>
        <w:trPr/>
        <w:tc>
          <w:tcPr>
            <w:tcW w:w="275" w:type="dxa"/>
            <w:tcBorders/>
            <w:shd w:fill="FFFFFF" w:val="clear"/>
            <w:vAlign w:val="center"/>
          </w:tcPr>
          <w:p>
            <w:pPr>
              <w:pStyle w:val="TableContents"/>
              <w:bidi w:val="0"/>
              <w:spacing w:before="0" w:after="283"/>
              <w:jc w:val="left"/>
              <w:rPr/>
            </w:pPr>
            <w:r>
              <w:rPr/>
              <w:t> </w:t>
            </w:r>
          </w:p>
        </w:tc>
        <w:tc>
          <w:tcPr>
            <w:tcW w:w="7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r>
      <w:tr>
        <w:trPr/>
        <w:tc>
          <w:tcPr>
            <w:tcW w:w="275" w:type="dxa"/>
            <w:tcBorders/>
            <w:shd w:fill="CCEEFF" w:val="clear"/>
            <w:vAlign w:val="center"/>
          </w:tcPr>
          <w:p>
            <w:pPr>
              <w:pStyle w:val="TableContents"/>
              <w:bidi w:val="0"/>
              <w:spacing w:before="0" w:after="283"/>
              <w:jc w:val="left"/>
              <w:rPr/>
            </w:pPr>
            <w:r>
              <w:rPr/>
              <w:t>55</w:t>
            </w:r>
          </w:p>
        </w:tc>
        <w:tc>
          <w:tcPr>
            <w:tcW w:w="7325" w:type="dxa"/>
            <w:tcBorders/>
            <w:shd w:fill="CCEEFF" w:val="clear"/>
            <w:vAlign w:val="center"/>
          </w:tcPr>
          <w:p>
            <w:pPr>
              <w:pStyle w:val="TableContents"/>
              <w:bidi w:val="0"/>
              <w:spacing w:before="0" w:after="283"/>
              <w:jc w:val="left"/>
              <w:rPr/>
            </w:pPr>
            <w:r>
              <w:rPr/>
              <w:t>Xinjiang United Family Trading Co., Ltd. Urumqi Meimei Chanson Bakery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PRC</w:t>
            </w:r>
          </w:p>
        </w:tc>
      </w:tr>
      <w:tr>
        <w:trPr/>
        <w:tc>
          <w:tcPr>
            <w:tcW w:w="275" w:type="dxa"/>
            <w:tcBorders/>
            <w:shd w:fill="FFFFFF" w:val="clear"/>
            <w:vAlign w:val="center"/>
          </w:tcPr>
          <w:p>
            <w:pPr>
              <w:pStyle w:val="TableContents"/>
              <w:bidi w:val="0"/>
              <w:spacing w:before="0" w:after="283"/>
              <w:jc w:val="left"/>
              <w:rPr/>
            </w:pPr>
            <w:r>
              <w:rPr/>
              <w:t> </w:t>
            </w:r>
          </w:p>
        </w:tc>
        <w:tc>
          <w:tcPr>
            <w:tcW w:w="7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r>
      <w:tr>
        <w:trPr/>
        <w:tc>
          <w:tcPr>
            <w:tcW w:w="275" w:type="dxa"/>
            <w:tcBorders/>
            <w:shd w:fill="CCEEFF" w:val="clear"/>
            <w:vAlign w:val="center"/>
          </w:tcPr>
          <w:p>
            <w:pPr>
              <w:pStyle w:val="TableContents"/>
              <w:bidi w:val="0"/>
              <w:spacing w:before="0" w:after="283"/>
              <w:jc w:val="left"/>
              <w:rPr/>
            </w:pPr>
            <w:r>
              <w:rPr/>
              <w:t>56</w:t>
            </w:r>
          </w:p>
        </w:tc>
        <w:tc>
          <w:tcPr>
            <w:tcW w:w="7325" w:type="dxa"/>
            <w:tcBorders/>
            <w:shd w:fill="CCEEFF" w:val="clear"/>
            <w:vAlign w:val="center"/>
          </w:tcPr>
          <w:p>
            <w:pPr>
              <w:pStyle w:val="TableContents"/>
              <w:bidi w:val="0"/>
              <w:spacing w:before="0" w:after="283"/>
              <w:jc w:val="left"/>
              <w:rPr/>
            </w:pPr>
            <w:r>
              <w:rPr/>
              <w:t>Xinjiang United Family Trading Co., Ltd. Tianshan District Chanson Bakery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PRC</w:t>
            </w:r>
          </w:p>
        </w:tc>
      </w:tr>
      <w:tr>
        <w:trPr/>
        <w:tc>
          <w:tcPr>
            <w:tcW w:w="275" w:type="dxa"/>
            <w:tcBorders/>
            <w:shd w:fill="FFFFFF" w:val="clear"/>
            <w:vAlign w:val="center"/>
          </w:tcPr>
          <w:p>
            <w:pPr>
              <w:pStyle w:val="TableContents"/>
              <w:bidi w:val="0"/>
              <w:spacing w:before="0" w:after="283"/>
              <w:jc w:val="left"/>
              <w:rPr/>
            </w:pPr>
            <w:r>
              <w:rPr/>
              <w:t> </w:t>
            </w:r>
          </w:p>
        </w:tc>
        <w:tc>
          <w:tcPr>
            <w:tcW w:w="7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r>
      <w:tr>
        <w:trPr/>
        <w:tc>
          <w:tcPr>
            <w:tcW w:w="275" w:type="dxa"/>
            <w:tcBorders/>
            <w:shd w:fill="CCEEFF" w:val="clear"/>
            <w:vAlign w:val="center"/>
          </w:tcPr>
          <w:p>
            <w:pPr>
              <w:pStyle w:val="TableContents"/>
              <w:bidi w:val="0"/>
              <w:spacing w:before="0" w:after="283"/>
              <w:jc w:val="left"/>
              <w:rPr/>
            </w:pPr>
            <w:r>
              <w:rPr/>
              <w:t>57</w:t>
            </w:r>
          </w:p>
        </w:tc>
        <w:tc>
          <w:tcPr>
            <w:tcW w:w="7325" w:type="dxa"/>
            <w:tcBorders/>
            <w:shd w:fill="CCEEFF" w:val="clear"/>
            <w:vAlign w:val="center"/>
          </w:tcPr>
          <w:p>
            <w:pPr>
              <w:pStyle w:val="TableContents"/>
              <w:bidi w:val="0"/>
              <w:spacing w:before="0" w:after="283"/>
              <w:jc w:val="left"/>
              <w:rPr/>
            </w:pPr>
            <w:r>
              <w:rPr/>
              <w:t>Xinjiang United Family Trading Co., Ltd. Coffee Bakery Branch</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PRC</w:t>
            </w:r>
          </w:p>
        </w:tc>
      </w:tr>
      <w:tr>
        <w:trPr/>
        <w:tc>
          <w:tcPr>
            <w:tcW w:w="275" w:type="dxa"/>
            <w:tcBorders/>
            <w:shd w:fill="FFFFFF" w:val="clear"/>
            <w:vAlign w:val="center"/>
          </w:tcPr>
          <w:p>
            <w:pPr>
              <w:pStyle w:val="TableContents"/>
              <w:bidi w:val="0"/>
              <w:spacing w:before="0" w:after="283"/>
              <w:jc w:val="left"/>
              <w:rPr/>
            </w:pPr>
            <w:r>
              <w:rPr/>
              <w:t> </w:t>
            </w:r>
          </w:p>
        </w:tc>
        <w:tc>
          <w:tcPr>
            <w:tcW w:w="7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r>
      <w:tr>
        <w:trPr/>
        <w:tc>
          <w:tcPr>
            <w:tcW w:w="275" w:type="dxa"/>
            <w:tcBorders/>
            <w:shd w:fill="CCEEFF" w:val="clear"/>
            <w:vAlign w:val="center"/>
          </w:tcPr>
          <w:p>
            <w:pPr>
              <w:pStyle w:val="TableContents"/>
              <w:bidi w:val="0"/>
              <w:spacing w:before="0" w:after="283"/>
              <w:jc w:val="left"/>
              <w:rPr/>
            </w:pPr>
            <w:r>
              <w:rPr/>
              <w:t>58</w:t>
            </w:r>
          </w:p>
        </w:tc>
        <w:tc>
          <w:tcPr>
            <w:tcW w:w="7325" w:type="dxa"/>
            <w:tcBorders/>
            <w:shd w:fill="CCEEFF" w:val="clear"/>
            <w:vAlign w:val="center"/>
          </w:tcPr>
          <w:p>
            <w:pPr>
              <w:pStyle w:val="TableContents"/>
              <w:bidi w:val="0"/>
              <w:spacing w:before="0" w:after="283"/>
              <w:jc w:val="left"/>
              <w:rPr/>
            </w:pPr>
            <w:r>
              <w:rPr/>
              <w:t>Xinjiang United Family Trading Co., Ltd. Ruitai Chanson Bakery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PRC</w:t>
            </w:r>
          </w:p>
        </w:tc>
      </w:tr>
      <w:tr>
        <w:trPr/>
        <w:tc>
          <w:tcPr>
            <w:tcW w:w="275" w:type="dxa"/>
            <w:tcBorders/>
            <w:shd w:fill="FFFFFF" w:val="clear"/>
            <w:vAlign w:val="center"/>
          </w:tcPr>
          <w:p>
            <w:pPr>
              <w:pStyle w:val="TableContents"/>
              <w:bidi w:val="0"/>
              <w:spacing w:before="0" w:after="283"/>
              <w:jc w:val="left"/>
              <w:rPr/>
            </w:pPr>
            <w:r>
              <w:rPr/>
              <w:t> </w:t>
            </w:r>
          </w:p>
        </w:tc>
        <w:tc>
          <w:tcPr>
            <w:tcW w:w="7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r>
      <w:tr>
        <w:trPr/>
        <w:tc>
          <w:tcPr>
            <w:tcW w:w="275" w:type="dxa"/>
            <w:tcBorders/>
            <w:shd w:fill="CCEEFF" w:val="clear"/>
            <w:vAlign w:val="center"/>
          </w:tcPr>
          <w:p>
            <w:pPr>
              <w:pStyle w:val="TableContents"/>
              <w:bidi w:val="0"/>
              <w:spacing w:before="0" w:after="283"/>
              <w:jc w:val="left"/>
              <w:rPr/>
            </w:pPr>
            <w:r>
              <w:rPr/>
              <w:t>59</w:t>
            </w:r>
          </w:p>
        </w:tc>
        <w:tc>
          <w:tcPr>
            <w:tcW w:w="7325" w:type="dxa"/>
            <w:tcBorders/>
            <w:shd w:fill="CCEEFF" w:val="clear"/>
            <w:vAlign w:val="center"/>
          </w:tcPr>
          <w:p>
            <w:pPr>
              <w:pStyle w:val="TableContents"/>
              <w:bidi w:val="0"/>
              <w:spacing w:before="0" w:after="283"/>
              <w:jc w:val="left"/>
              <w:rPr/>
            </w:pPr>
            <w:r>
              <w:rPr/>
              <w:t>Xinjiang United Family Trading Co., Ltd. Xinshi District Chanson Bakery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PRC</w:t>
            </w:r>
          </w:p>
        </w:tc>
      </w:tr>
      <w:tr>
        <w:trPr/>
        <w:tc>
          <w:tcPr>
            <w:tcW w:w="275" w:type="dxa"/>
            <w:tcBorders/>
            <w:shd w:fill="FFFFFF" w:val="clear"/>
            <w:vAlign w:val="center"/>
          </w:tcPr>
          <w:p>
            <w:pPr>
              <w:pStyle w:val="TableContents"/>
              <w:bidi w:val="0"/>
              <w:spacing w:before="0" w:after="283"/>
              <w:jc w:val="left"/>
              <w:rPr/>
            </w:pPr>
            <w:r>
              <w:rPr/>
              <w:t> </w:t>
            </w:r>
          </w:p>
        </w:tc>
        <w:tc>
          <w:tcPr>
            <w:tcW w:w="7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r>
      <w:tr>
        <w:trPr/>
        <w:tc>
          <w:tcPr>
            <w:tcW w:w="275" w:type="dxa"/>
            <w:tcBorders/>
            <w:shd w:fill="CCEEFF" w:val="clear"/>
            <w:vAlign w:val="center"/>
          </w:tcPr>
          <w:p>
            <w:pPr>
              <w:pStyle w:val="TableContents"/>
              <w:bidi w:val="0"/>
              <w:spacing w:before="0" w:after="283"/>
              <w:jc w:val="left"/>
              <w:rPr/>
            </w:pPr>
            <w:r>
              <w:rPr/>
              <w:t>60</w:t>
            </w:r>
          </w:p>
        </w:tc>
        <w:tc>
          <w:tcPr>
            <w:tcW w:w="7325" w:type="dxa"/>
            <w:tcBorders/>
            <w:shd w:fill="CCEEFF" w:val="clear"/>
            <w:vAlign w:val="center"/>
          </w:tcPr>
          <w:p>
            <w:pPr>
              <w:pStyle w:val="TableContents"/>
              <w:bidi w:val="0"/>
              <w:spacing w:before="0" w:after="283"/>
              <w:jc w:val="left"/>
              <w:rPr/>
            </w:pPr>
            <w:r>
              <w:rPr/>
              <w:t>Xinjiang United Family Trading Co., Ltd. Zhaokang Hemeijia Chanson</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PRC</w:t>
            </w:r>
          </w:p>
        </w:tc>
      </w:tr>
    </w:tbl>
    <w:p>
      <w:pPr>
        <w:pStyle w:val="TextBody"/>
        <w:bidi w:val="0"/>
        <w:spacing w:before="0" w:after="283"/>
        <w:jc w:val="left"/>
        <w:rPr/>
      </w:pPr>
      <w:r>
        <w:rPr/>
        <w:t> </w:t>
      </w:r>
    </w:p>
    <w:tbl>
      <w:tblPr>
        <w:tblW w:w="8520" w:type="dxa"/>
        <w:jc w:val="left"/>
        <w:tblInd w:w="0" w:type="dxa"/>
        <w:tblLayout w:type="fixed"/>
        <w:tblCellMar>
          <w:top w:w="0" w:type="dxa"/>
          <w:left w:w="0" w:type="dxa"/>
          <w:bottom w:w="0" w:type="dxa"/>
          <w:right w:w="0" w:type="dxa"/>
        </w:tblCellMar>
      </w:tblPr>
      <w:tblGrid>
        <w:gridCol w:w="275"/>
        <w:gridCol w:w="7685"/>
        <w:gridCol w:w="60"/>
        <w:gridCol w:w="500"/>
      </w:tblGrid>
      <w:tr>
        <w:trPr/>
        <w:tc>
          <w:tcPr>
            <w:tcW w:w="275" w:type="dxa"/>
            <w:tcBorders/>
            <w:shd w:fill="CCEEFF" w:val="clear"/>
            <w:vAlign w:val="center"/>
          </w:tcPr>
          <w:p>
            <w:pPr>
              <w:pStyle w:val="TableContents"/>
              <w:bidi w:val="0"/>
              <w:spacing w:before="0" w:after="283"/>
              <w:jc w:val="left"/>
              <w:rPr/>
            </w:pPr>
            <w:r>
              <w:rPr/>
              <w:t>61</w:t>
            </w:r>
          </w:p>
        </w:tc>
        <w:tc>
          <w:tcPr>
            <w:tcW w:w="7685" w:type="dxa"/>
            <w:tcBorders/>
            <w:shd w:fill="CCEEFF" w:val="clear"/>
            <w:vAlign w:val="center"/>
          </w:tcPr>
          <w:p>
            <w:pPr>
              <w:pStyle w:val="TableContents"/>
              <w:bidi w:val="0"/>
              <w:spacing w:before="0" w:after="283"/>
              <w:jc w:val="left"/>
              <w:rPr/>
            </w:pPr>
            <w:r>
              <w:rPr/>
              <w:t>Xinjiang United Family Trading Co., Ltd. Hemeijia Chanson Bakery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PRC</w:t>
            </w:r>
          </w:p>
        </w:tc>
      </w:tr>
      <w:tr>
        <w:trPr/>
        <w:tc>
          <w:tcPr>
            <w:tcW w:w="275" w:type="dxa"/>
            <w:tcBorders/>
            <w:shd w:fill="FFFFFF" w:val="clear"/>
            <w:vAlign w:val="center"/>
          </w:tcPr>
          <w:p>
            <w:pPr>
              <w:pStyle w:val="TableContents"/>
              <w:bidi w:val="0"/>
              <w:spacing w:before="0" w:after="283"/>
              <w:jc w:val="left"/>
              <w:rPr/>
            </w:pPr>
            <w:r>
              <w:rPr/>
              <w:t> </w:t>
            </w:r>
          </w:p>
        </w:tc>
        <w:tc>
          <w:tcPr>
            <w:tcW w:w="76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r>
      <w:tr>
        <w:trPr/>
        <w:tc>
          <w:tcPr>
            <w:tcW w:w="275" w:type="dxa"/>
            <w:tcBorders/>
            <w:shd w:fill="CCEEFF" w:val="clear"/>
            <w:vAlign w:val="center"/>
          </w:tcPr>
          <w:p>
            <w:pPr>
              <w:pStyle w:val="TableContents"/>
              <w:bidi w:val="0"/>
              <w:spacing w:before="0" w:after="283"/>
              <w:jc w:val="left"/>
              <w:rPr/>
            </w:pPr>
            <w:r>
              <w:rPr/>
              <w:t>62</w:t>
            </w:r>
          </w:p>
        </w:tc>
        <w:tc>
          <w:tcPr>
            <w:tcW w:w="7685" w:type="dxa"/>
            <w:tcBorders/>
            <w:shd w:fill="CCEEFF" w:val="clear"/>
            <w:vAlign w:val="center"/>
          </w:tcPr>
          <w:p>
            <w:pPr>
              <w:pStyle w:val="TableContents"/>
              <w:bidi w:val="0"/>
              <w:spacing w:before="0" w:after="283"/>
              <w:jc w:val="left"/>
              <w:rPr/>
            </w:pPr>
            <w:r>
              <w:rPr/>
              <w:t>Urumqi George Chanson Trading Co., Ltd. Tianshan District Coffee and Bakery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PRC</w:t>
            </w:r>
          </w:p>
        </w:tc>
      </w:tr>
      <w:tr>
        <w:trPr/>
        <w:tc>
          <w:tcPr>
            <w:tcW w:w="275" w:type="dxa"/>
            <w:tcBorders/>
            <w:shd w:fill="FFFFFF" w:val="clear"/>
            <w:vAlign w:val="center"/>
          </w:tcPr>
          <w:p>
            <w:pPr>
              <w:pStyle w:val="TableContents"/>
              <w:bidi w:val="0"/>
              <w:spacing w:before="0" w:after="283"/>
              <w:jc w:val="left"/>
              <w:rPr/>
            </w:pPr>
            <w:r>
              <w:rPr/>
              <w:t> </w:t>
            </w:r>
          </w:p>
        </w:tc>
        <w:tc>
          <w:tcPr>
            <w:tcW w:w="76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r>
      <w:tr>
        <w:trPr/>
        <w:tc>
          <w:tcPr>
            <w:tcW w:w="275" w:type="dxa"/>
            <w:tcBorders/>
            <w:shd w:fill="CCEEFF" w:val="clear"/>
            <w:vAlign w:val="center"/>
          </w:tcPr>
          <w:p>
            <w:pPr>
              <w:pStyle w:val="TableContents"/>
              <w:bidi w:val="0"/>
              <w:spacing w:before="0" w:after="283"/>
              <w:jc w:val="left"/>
              <w:rPr/>
            </w:pPr>
            <w:r>
              <w:rPr/>
              <w:t>63</w:t>
            </w:r>
          </w:p>
        </w:tc>
        <w:tc>
          <w:tcPr>
            <w:tcW w:w="7685" w:type="dxa"/>
            <w:tcBorders/>
            <w:shd w:fill="CCEEFF" w:val="clear"/>
            <w:vAlign w:val="center"/>
          </w:tcPr>
          <w:p>
            <w:pPr>
              <w:pStyle w:val="TableContents"/>
              <w:bidi w:val="0"/>
              <w:spacing w:before="0" w:after="283"/>
              <w:jc w:val="left"/>
              <w:rPr/>
            </w:pPr>
            <w:r>
              <w:rPr/>
              <w:t>Xinjiang United Family Trading Co., Ltd. Urumqi Chanson Bakery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PRC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48" w:name="ea028662601ex12-1.htm"/>
      <w:bookmarkStart w:id="49" w:name="ksea028662601ex121"/>
      <w:bookmarkEnd w:id="48"/>
      <w:bookmarkEnd w:id="49"/>
      <w:r>
        <w:rPr>
          <w:b/>
        </w:rPr>
        <w:t>Exhibit 12.1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 CHIEF EXECUTIVE OFFICER PURSUANT TO SECTION 302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Gang Li, certify that:</w:t>
      </w:r>
    </w:p>
    <w:p>
      <w:pPr>
        <w:pStyle w:val="TextBody"/>
        <w:bidi w:val="0"/>
        <w:spacing w:before="0" w:after="0"/>
        <w:ind w:left="0" w:right="0" w:hanging="0"/>
        <w:jc w:val="left"/>
        <w:rPr>
          <w:caps w:val="false"/>
          <w:smallCaps w:val="false"/>
        </w:rPr>
      </w:pPr>
      <w:r>
        <w:rPr>
          <w:caps w:val="false"/>
          <w:smallCaps w:val="false"/>
        </w:rPr>
        <w:t> </w:t>
      </w:r>
    </w:p>
    <w:tbl>
      <w:tblPr>
        <w:tblW w:w="8395" w:type="dxa"/>
        <w:jc w:val="left"/>
        <w:tblInd w:w="0" w:type="dxa"/>
        <w:tblLayout w:type="fixed"/>
        <w:tblCellMar>
          <w:top w:w="0" w:type="dxa"/>
          <w:left w:w="0" w:type="dxa"/>
          <w:bottom w:w="0" w:type="dxa"/>
          <w:right w:w="0" w:type="dxa"/>
        </w:tblCellMar>
      </w:tblPr>
      <w:tblGrid>
        <w:gridCol w:w="185"/>
        <w:gridCol w:w="8210"/>
      </w:tblGrid>
      <w:tr>
        <w:trPr/>
        <w:tc>
          <w:tcPr>
            <w:tcW w:w="185" w:type="dxa"/>
            <w:tcBorders/>
            <w:vAlign w:val="center"/>
          </w:tcPr>
          <w:p>
            <w:pPr>
              <w:pStyle w:val="TableContents"/>
              <w:bidi w:val="0"/>
              <w:spacing w:before="0" w:after="283"/>
              <w:jc w:val="left"/>
              <w:rPr>
                <w:sz w:val="20"/>
              </w:rPr>
            </w:pPr>
            <w:r>
              <w:rPr>
                <w:sz w:val="20"/>
              </w:rPr>
              <w:t>1.</w:t>
            </w:r>
          </w:p>
        </w:tc>
        <w:tc>
          <w:tcPr>
            <w:tcW w:w="8210" w:type="dxa"/>
            <w:tcBorders/>
            <w:vAlign w:val="center"/>
          </w:tcPr>
          <w:p>
            <w:pPr>
              <w:pStyle w:val="TableContents"/>
              <w:bidi w:val="0"/>
              <w:spacing w:before="0" w:after="283"/>
              <w:jc w:val="both"/>
              <w:rPr>
                <w:sz w:val="20"/>
              </w:rPr>
            </w:pPr>
            <w:r>
              <w:rPr>
                <w:sz w:val="20"/>
              </w:rPr>
              <w:t>I have reviewed this annual report on Form 20-F of Chanson International Holding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sz w:val="20"/>
              </w:rPr>
            </w:pPr>
            <w:r>
              <w:rPr>
                <w:sz w:val="20"/>
              </w:rPr>
              <w:t>2.</w:t>
            </w:r>
          </w:p>
        </w:tc>
        <w:tc>
          <w:tcPr>
            <w:tcW w:w="10048" w:type="dxa"/>
            <w:tcBorders/>
            <w:vAlign w:val="center"/>
          </w:tcPr>
          <w:p>
            <w:pPr>
              <w:pStyle w:val="TableContents"/>
              <w:bidi w:val="0"/>
              <w:spacing w:before="0" w:after="283"/>
              <w:jc w:val="both"/>
              <w:rPr>
                <w:sz w:val="20"/>
              </w:rPr>
            </w:pPr>
            <w:r>
              <w:rPr>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sz w:val="20"/>
              </w:rPr>
            </w:pPr>
            <w:r>
              <w:rPr>
                <w:sz w:val="20"/>
              </w:rPr>
              <w:t>3.</w:t>
            </w:r>
          </w:p>
        </w:tc>
        <w:tc>
          <w:tcPr>
            <w:tcW w:w="10046" w:type="dxa"/>
            <w:tcBorders/>
            <w:vAlign w:val="center"/>
          </w:tcPr>
          <w:p>
            <w:pPr>
              <w:pStyle w:val="TableContents"/>
              <w:bidi w:val="0"/>
              <w:spacing w:before="0" w:after="283"/>
              <w:jc w:val="both"/>
              <w:rPr>
                <w:sz w:val="20"/>
              </w:rPr>
            </w:pPr>
            <w:r>
              <w:rPr>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sz w:val="20"/>
              </w:rPr>
            </w:pPr>
            <w:r>
              <w:rPr>
                <w:sz w:val="20"/>
              </w:rPr>
              <w:t>4.</w:t>
            </w:r>
          </w:p>
        </w:tc>
        <w:tc>
          <w:tcPr>
            <w:tcW w:w="10049" w:type="dxa"/>
            <w:tcBorders/>
            <w:vAlign w:val="center"/>
          </w:tcPr>
          <w:p>
            <w:pPr>
              <w:pStyle w:val="TableContents"/>
              <w:bidi w:val="0"/>
              <w:spacing w:before="0" w:after="283"/>
              <w:jc w:val="both"/>
              <w:rPr>
                <w:sz w:val="20"/>
              </w:rPr>
            </w:pPr>
            <w:r>
              <w:rPr>
                <w:sz w:val="20"/>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sz w:val="20"/>
              </w:rPr>
            </w:pPr>
            <w:r>
              <w:rPr>
                <w:sz w:val="20"/>
              </w:rPr>
              <w:t>(a)</w:t>
            </w:r>
          </w:p>
        </w:tc>
        <w:tc>
          <w:tcPr>
            <w:tcW w:w="9942" w:type="dxa"/>
            <w:tcBorders/>
            <w:vAlign w:val="center"/>
          </w:tcPr>
          <w:p>
            <w:pPr>
              <w:pStyle w:val="TableContents"/>
              <w:bidi w:val="0"/>
              <w:spacing w:before="0" w:after="283"/>
              <w:jc w:val="both"/>
              <w:rPr>
                <w:sz w:val="20"/>
              </w:rPr>
            </w:pPr>
            <w:r>
              <w:rPr>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sz w:val="20"/>
              </w:rPr>
            </w:pPr>
            <w:r>
              <w:rPr>
                <w:sz w:val="20"/>
              </w:rPr>
              <w:t>(b)</w:t>
            </w:r>
          </w:p>
        </w:tc>
        <w:tc>
          <w:tcPr>
            <w:tcW w:w="9926" w:type="dxa"/>
            <w:tcBorders/>
            <w:vAlign w:val="center"/>
          </w:tcPr>
          <w:p>
            <w:pPr>
              <w:pStyle w:val="TableContents"/>
              <w:bidi w:val="0"/>
              <w:spacing w:before="0" w:after="283"/>
              <w:jc w:val="both"/>
              <w:rPr>
                <w:sz w:val="20"/>
              </w:rPr>
            </w:pPr>
            <w:r>
              <w:rPr>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20"/>
              </w:rPr>
            </w:pPr>
            <w:r>
              <w:rPr>
                <w:sz w:val="20"/>
              </w:rPr>
              <w:t>(c)</w:t>
            </w:r>
          </w:p>
        </w:tc>
        <w:tc>
          <w:tcPr>
            <w:tcW w:w="9935" w:type="dxa"/>
            <w:tcBorders/>
            <w:vAlign w:val="center"/>
          </w:tcPr>
          <w:p>
            <w:pPr>
              <w:pStyle w:val="TableContents"/>
              <w:bidi w:val="0"/>
              <w:spacing w:before="0" w:after="283"/>
              <w:jc w:val="both"/>
              <w:rPr>
                <w:sz w:val="20"/>
              </w:rPr>
            </w:pPr>
            <w:r>
              <w:rPr>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9"/>
        <w:gridCol w:w="9921"/>
      </w:tblGrid>
      <w:tr>
        <w:trPr/>
        <w:tc>
          <w:tcPr>
            <w:tcW w:w="75"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sz w:val="20"/>
              </w:rPr>
            </w:pPr>
            <w:r>
              <w:rPr>
                <w:sz w:val="20"/>
              </w:rPr>
              <w:t>(d)</w:t>
            </w:r>
          </w:p>
        </w:tc>
        <w:tc>
          <w:tcPr>
            <w:tcW w:w="9921" w:type="dxa"/>
            <w:tcBorders/>
            <w:vAlign w:val="center"/>
          </w:tcPr>
          <w:p>
            <w:pPr>
              <w:pStyle w:val="TableContents"/>
              <w:bidi w:val="0"/>
              <w:spacing w:before="0" w:after="283"/>
              <w:jc w:val="both"/>
              <w:rPr>
                <w:sz w:val="20"/>
              </w:rPr>
            </w:pPr>
            <w:r>
              <w:rPr>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sz w:val="20"/>
              </w:rPr>
            </w:pPr>
            <w:r>
              <w:rPr>
                <w:sz w:val="20"/>
              </w:rPr>
              <w:t>5.</w:t>
            </w:r>
          </w:p>
        </w:tc>
        <w:tc>
          <w:tcPr>
            <w:tcW w:w="10047" w:type="dxa"/>
            <w:tcBorders/>
            <w:vAlign w:val="center"/>
          </w:tcPr>
          <w:p>
            <w:pPr>
              <w:pStyle w:val="TableContents"/>
              <w:bidi w:val="0"/>
              <w:spacing w:before="0" w:after="283"/>
              <w:jc w:val="both"/>
              <w:rPr>
                <w:sz w:val="20"/>
              </w:rPr>
            </w:pPr>
            <w:r>
              <w:rPr>
                <w:sz w:val="20"/>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sz w:val="20"/>
              </w:rPr>
            </w:pPr>
            <w:r>
              <w:rPr>
                <w:sz w:val="20"/>
              </w:rPr>
              <w:t>(a)</w:t>
            </w:r>
          </w:p>
        </w:tc>
        <w:tc>
          <w:tcPr>
            <w:tcW w:w="9934" w:type="dxa"/>
            <w:tcBorders/>
            <w:vAlign w:val="center"/>
          </w:tcPr>
          <w:p>
            <w:pPr>
              <w:pStyle w:val="TableContents"/>
              <w:bidi w:val="0"/>
              <w:spacing w:before="0" w:after="283"/>
              <w:jc w:val="both"/>
              <w:rPr>
                <w:sz w:val="20"/>
              </w:rPr>
            </w:pPr>
            <w:r>
              <w:rPr>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sz w:val="20"/>
              </w:rPr>
            </w:pPr>
            <w:r>
              <w:rPr>
                <w:sz w:val="20"/>
              </w:rPr>
              <w:t>(b)</w:t>
            </w:r>
          </w:p>
        </w:tc>
        <w:tc>
          <w:tcPr>
            <w:tcW w:w="9903" w:type="dxa"/>
            <w:tcBorders/>
            <w:vAlign w:val="center"/>
          </w:tcPr>
          <w:p>
            <w:pPr>
              <w:pStyle w:val="TableContents"/>
              <w:bidi w:val="0"/>
              <w:spacing w:before="0" w:after="283"/>
              <w:jc w:val="both"/>
              <w:rPr>
                <w:sz w:val="20"/>
              </w:rPr>
            </w:pPr>
            <w:r>
              <w:rPr>
                <w:sz w:val="20"/>
              </w:rPr>
              <w:t>Any fraud, whether or not material, that involves management or other employees who have a significant role in the Company’s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20, 2026</w:t>
      </w:r>
    </w:p>
    <w:p>
      <w:pPr>
        <w:pStyle w:val="TextBody"/>
        <w:bidi w:val="0"/>
        <w:spacing w:before="0" w:after="0"/>
        <w:ind w:left="0" w:right="0" w:hanging="0"/>
        <w:jc w:val="left"/>
        <w:rPr>
          <w:caps w:val="false"/>
          <w:smallCaps w:val="false"/>
        </w:rPr>
      </w:pPr>
      <w:r>
        <w:rPr>
          <w:caps w:val="false"/>
          <w:smallCaps w:val="false"/>
        </w:rPr>
        <w:t> </w:t>
      </w:r>
    </w:p>
    <w:tbl>
      <w:tblPr>
        <w:tblW w:w="2940" w:type="dxa"/>
        <w:jc w:val="left"/>
        <w:tblInd w:w="0" w:type="dxa"/>
        <w:tblLayout w:type="fixed"/>
        <w:tblCellMar>
          <w:top w:w="0" w:type="dxa"/>
          <w:left w:w="0" w:type="dxa"/>
          <w:bottom w:w="0" w:type="dxa"/>
          <w:right w:w="0" w:type="dxa"/>
        </w:tblCellMar>
      </w:tblPr>
      <w:tblGrid>
        <w:gridCol w:w="335"/>
        <w:gridCol w:w="590"/>
        <w:gridCol w:w="1940"/>
        <w:gridCol w:w="75"/>
      </w:tblGrid>
      <w:tr>
        <w:trPr/>
        <w:tc>
          <w:tcPr>
            <w:tcW w:w="335" w:type="dxa"/>
            <w:tcBorders/>
            <w:vAlign w:val="center"/>
          </w:tcPr>
          <w:p>
            <w:pPr>
              <w:pStyle w:val="TableContents"/>
              <w:bidi w:val="0"/>
              <w:spacing w:before="0" w:after="283"/>
              <w:jc w:val="left"/>
              <w:rPr>
                <w:sz w:val="20"/>
              </w:rPr>
            </w:pPr>
            <w:r>
              <w:rPr>
                <w:sz w:val="20"/>
              </w:rPr>
              <w:t>By:</w:t>
            </w:r>
          </w:p>
        </w:tc>
        <w:tc>
          <w:tcPr>
            <w:tcW w:w="2530" w:type="dxa"/>
            <w:gridSpan w:val="2"/>
            <w:tcBorders>
              <w:bottom w:val="single" w:sz="12" w:space="0" w:color="000000"/>
            </w:tcBorders>
            <w:tcMar>
              <w:bottom w:w="28" w:type="dxa"/>
            </w:tcMar>
            <w:vAlign w:val="center"/>
          </w:tcPr>
          <w:p>
            <w:pPr>
              <w:pStyle w:val="TableContents"/>
              <w:bidi w:val="0"/>
              <w:spacing w:before="0" w:after="283"/>
              <w:jc w:val="left"/>
              <w:rPr>
                <w:sz w:val="20"/>
              </w:rPr>
            </w:pPr>
            <w:r>
              <w:rPr>
                <w:sz w:val="20"/>
              </w:rPr>
              <w:t>/s/ Gang Li</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Name: </w:t>
            </w:r>
          </w:p>
        </w:tc>
        <w:tc>
          <w:tcPr>
            <w:tcW w:w="1940" w:type="dxa"/>
            <w:tcBorders/>
            <w:vAlign w:val="center"/>
          </w:tcPr>
          <w:p>
            <w:pPr>
              <w:pStyle w:val="TableContents"/>
              <w:bidi w:val="0"/>
              <w:spacing w:before="0" w:after="283"/>
              <w:jc w:val="left"/>
              <w:rPr>
                <w:sz w:val="20"/>
              </w:rPr>
            </w:pPr>
            <w:r>
              <w:rPr>
                <w:sz w:val="20"/>
              </w:rPr>
              <w:t>Gang Li</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1940" w:type="dxa"/>
            <w:tcBorders/>
            <w:vAlign w:val="center"/>
          </w:tcPr>
          <w:p>
            <w:pPr>
              <w:pStyle w:val="TableContents"/>
              <w:bidi w:val="0"/>
              <w:spacing w:before="0" w:after="283"/>
              <w:jc w:val="left"/>
              <w:rPr>
                <w:sz w:val="20"/>
              </w:rPr>
            </w:pPr>
            <w:r>
              <w:rPr>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0" w:name="ea028662601ex12-2.htm"/>
      <w:bookmarkStart w:id="51" w:name="ksea028662601ex122"/>
      <w:bookmarkEnd w:id="50"/>
      <w:bookmarkEnd w:id="51"/>
      <w:r>
        <w:rPr>
          <w:rFonts w:ascii="Times New Roman;Times;Serif" w:hAnsi="Times New Roman;Times;Serif"/>
          <w:b/>
          <w:i w:val="false"/>
          <w:caps w:val="false"/>
          <w:smallCaps w:val="false"/>
          <w:sz w:val="20"/>
        </w:rPr>
        <w:t>Exhibit 12.2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 CHIEF FINANCIAL OFFICER PURSUANT TO SECTION 302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Jihong Cai, certify that:</w:t>
      </w:r>
    </w:p>
    <w:p>
      <w:pPr>
        <w:pStyle w:val="TextBody"/>
        <w:bidi w:val="0"/>
        <w:spacing w:before="0" w:after="0"/>
        <w:ind w:left="0" w:right="0" w:hanging="0"/>
        <w:jc w:val="left"/>
        <w:rPr>
          <w:caps w:val="false"/>
          <w:smallCaps w:val="false"/>
        </w:rPr>
      </w:pPr>
      <w:r>
        <w:rPr>
          <w:caps w:val="false"/>
          <w:smallCaps w:val="false"/>
        </w:rPr>
        <w:t> </w:t>
      </w:r>
    </w:p>
    <w:tbl>
      <w:tblPr>
        <w:tblW w:w="8395" w:type="dxa"/>
        <w:jc w:val="left"/>
        <w:tblInd w:w="0" w:type="dxa"/>
        <w:tblLayout w:type="fixed"/>
        <w:tblCellMar>
          <w:top w:w="0" w:type="dxa"/>
          <w:left w:w="0" w:type="dxa"/>
          <w:bottom w:w="0" w:type="dxa"/>
          <w:right w:w="0" w:type="dxa"/>
        </w:tblCellMar>
      </w:tblPr>
      <w:tblGrid>
        <w:gridCol w:w="185"/>
        <w:gridCol w:w="8210"/>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annual report on Form 20-F of Chanson International Holding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9"/>
        <w:gridCol w:w="992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other certifying officer and I have disclosed, based on our most recent evaluation of internal control over financial reporting, to the Company’s auditors and the audit committee of the Company’s board of directors (or persons performing the equivalent function):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Company’s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20, 2026</w:t>
      </w:r>
    </w:p>
    <w:p>
      <w:pPr>
        <w:pStyle w:val="TextBody"/>
        <w:bidi w:val="0"/>
        <w:spacing w:before="0" w:after="0"/>
        <w:ind w:left="0" w:right="0" w:hanging="0"/>
        <w:jc w:val="left"/>
        <w:rPr>
          <w:caps w:val="false"/>
          <w:smallCaps w:val="false"/>
        </w:rPr>
      </w:pPr>
      <w:r>
        <w:rPr>
          <w:caps w:val="false"/>
          <w:smallCaps w:val="false"/>
        </w:rPr>
        <w:t> </w:t>
      </w:r>
    </w:p>
    <w:tbl>
      <w:tblPr>
        <w:tblW w:w="2880" w:type="dxa"/>
        <w:jc w:val="left"/>
        <w:tblInd w:w="0" w:type="dxa"/>
        <w:tblLayout w:type="fixed"/>
        <w:tblCellMar>
          <w:top w:w="0" w:type="dxa"/>
          <w:left w:w="0" w:type="dxa"/>
          <w:bottom w:w="0" w:type="dxa"/>
          <w:right w:w="0" w:type="dxa"/>
        </w:tblCellMar>
      </w:tblPr>
      <w:tblGrid>
        <w:gridCol w:w="335"/>
        <w:gridCol w:w="590"/>
        <w:gridCol w:w="1880"/>
        <w:gridCol w:w="75"/>
      </w:tblGrid>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7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Jihong Cai</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1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Jihong Cai</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1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2" w:name="ea028662601ex13-1.htm"/>
      <w:bookmarkStart w:id="53" w:name="ksea028662601ex131"/>
      <w:bookmarkEnd w:id="52"/>
      <w:bookmarkEnd w:id="53"/>
      <w:r>
        <w:rPr>
          <w:rFonts w:ascii="Times New Roman;Times;Serif" w:hAnsi="Times New Roman;Times;Serif"/>
          <w:b/>
          <w:i w:val="false"/>
          <w:caps w:val="false"/>
          <w:smallCaps w:val="false"/>
          <w:sz w:val="20"/>
        </w:rPr>
        <w:t>Exhibit 13.1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 CHIEF EXECUTIVE OFFICER PURSUANT TO SECTION 906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Chanson International Holding (the “Company”) on Form 20-F for the year ended December 31, 2025, as filed with the Securities and Exchange Commission on the date hereof (the “Report”), I, Gang Li, Chief Executive Officer of the Company, certify, pursuant to 18 U.S.C. Section 1350, as adopted pursuant to Section 906 of the Sarbanes-Oxley Act of 2002, that to my knowledge:</w:t>
      </w:r>
    </w:p>
    <w:p>
      <w:pPr>
        <w:pStyle w:val="TextBody"/>
        <w:bidi w:val="0"/>
        <w:spacing w:before="0" w:after="0"/>
        <w:ind w:left="0" w:right="0" w:hanging="0"/>
        <w:jc w:val="both"/>
        <w:rPr>
          <w:caps w:val="false"/>
          <w:smallCaps w:val="false"/>
        </w:rPr>
      </w:pPr>
      <w:r>
        <w:rPr>
          <w:caps w:val="false"/>
          <w:smallCaps w:val="false"/>
        </w:rPr>
        <w:t> </w:t>
      </w:r>
    </w:p>
    <w:tbl>
      <w:tblPr>
        <w:tblW w:w="9865" w:type="dxa"/>
        <w:jc w:val="left"/>
        <w:tblInd w:w="0" w:type="dxa"/>
        <w:tblLayout w:type="fixed"/>
        <w:tblCellMar>
          <w:top w:w="0" w:type="dxa"/>
          <w:left w:w="0" w:type="dxa"/>
          <w:bottom w:w="0" w:type="dxa"/>
          <w:right w:w="0" w:type="dxa"/>
        </w:tblCellMar>
      </w:tblPr>
      <w:tblGrid>
        <w:gridCol w:w="260"/>
        <w:gridCol w:w="9605"/>
      </w:tblGrid>
      <w:tr>
        <w:trPr/>
        <w:tc>
          <w:tcPr>
            <w:tcW w:w="260" w:type="dxa"/>
            <w:tcBorders/>
            <w:vAlign w:val="center"/>
          </w:tcPr>
          <w:p>
            <w:pPr>
              <w:pStyle w:val="TableContents"/>
              <w:bidi w:val="0"/>
              <w:spacing w:before="0" w:after="283"/>
              <w:jc w:val="left"/>
              <w:rPr>
                <w:sz w:val="20"/>
              </w:rPr>
            </w:pPr>
            <w:r>
              <w:rPr>
                <w:sz w:val="20"/>
              </w:rPr>
              <w:t>(1)</w:t>
            </w:r>
          </w:p>
        </w:tc>
        <w:tc>
          <w:tcPr>
            <w:tcW w:w="9605" w:type="dxa"/>
            <w:tcBorders/>
            <w:vAlign w:val="center"/>
          </w:tcPr>
          <w:p>
            <w:pPr>
              <w:pStyle w:val="TableContents"/>
              <w:bidi w:val="0"/>
              <w:spacing w:before="0" w:after="283"/>
              <w:jc w:val="both"/>
              <w:rPr>
                <w:sz w:val="20"/>
              </w:rPr>
            </w:pPr>
            <w:r>
              <w:rPr>
                <w:sz w:val="20"/>
              </w:rPr>
              <w:t>The Report fully complies with the requirements of Section 13(a) or 15(d) of the Securities Exchange Act of 1934;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sz w:val="20"/>
              </w:rPr>
            </w:pPr>
            <w:r>
              <w:rPr>
                <w:sz w:val="20"/>
              </w:rPr>
              <w:t>(2)</w:t>
            </w:r>
          </w:p>
        </w:tc>
        <w:tc>
          <w:tcPr>
            <w:tcW w:w="9956" w:type="dxa"/>
            <w:tcBorders/>
            <w:vAlign w:val="center"/>
          </w:tcPr>
          <w:p>
            <w:pPr>
              <w:pStyle w:val="TableContents"/>
              <w:bidi w:val="0"/>
              <w:spacing w:before="0" w:after="283"/>
              <w:jc w:val="both"/>
              <w:rPr>
                <w:sz w:val="20"/>
              </w:rPr>
            </w:pPr>
            <w:r>
              <w:rPr>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20, 2026</w:t>
      </w:r>
    </w:p>
    <w:p>
      <w:pPr>
        <w:pStyle w:val="TextBody"/>
        <w:bidi w:val="0"/>
        <w:spacing w:before="0" w:after="0"/>
        <w:ind w:left="0" w:right="0" w:hanging="0"/>
        <w:jc w:val="left"/>
        <w:rPr>
          <w:caps w:val="false"/>
          <w:smallCaps w:val="false"/>
        </w:rPr>
      </w:pPr>
      <w:r>
        <w:rPr>
          <w:caps w:val="false"/>
          <w:smallCaps w:val="false"/>
        </w:rPr>
        <w:t> </w:t>
      </w:r>
    </w:p>
    <w:tbl>
      <w:tblPr>
        <w:tblW w:w="2895" w:type="dxa"/>
        <w:jc w:val="left"/>
        <w:tblInd w:w="0" w:type="dxa"/>
        <w:tblLayout w:type="fixed"/>
        <w:tblCellMar>
          <w:top w:w="0" w:type="dxa"/>
          <w:left w:w="0" w:type="dxa"/>
          <w:bottom w:w="0" w:type="dxa"/>
          <w:right w:w="0" w:type="dxa"/>
        </w:tblCellMar>
      </w:tblPr>
      <w:tblGrid>
        <w:gridCol w:w="335"/>
        <w:gridCol w:w="545"/>
        <w:gridCol w:w="1940"/>
        <w:gridCol w:w="75"/>
      </w:tblGrid>
      <w:tr>
        <w:trPr/>
        <w:tc>
          <w:tcPr>
            <w:tcW w:w="335" w:type="dxa"/>
            <w:tcBorders/>
            <w:vAlign w:val="center"/>
          </w:tcPr>
          <w:p>
            <w:pPr>
              <w:pStyle w:val="TableContents"/>
              <w:bidi w:val="0"/>
              <w:spacing w:before="0" w:after="283"/>
              <w:jc w:val="left"/>
              <w:rPr>
                <w:sz w:val="20"/>
              </w:rPr>
            </w:pPr>
            <w:r>
              <w:rPr>
                <w:sz w:val="20"/>
              </w:rPr>
              <w:t>By:</w:t>
            </w:r>
          </w:p>
        </w:tc>
        <w:tc>
          <w:tcPr>
            <w:tcW w:w="2485" w:type="dxa"/>
            <w:gridSpan w:val="2"/>
            <w:tcBorders>
              <w:bottom w:val="single" w:sz="12" w:space="0" w:color="000000"/>
            </w:tcBorders>
            <w:tcMar>
              <w:bottom w:w="28" w:type="dxa"/>
            </w:tcMar>
            <w:vAlign w:val="center"/>
          </w:tcPr>
          <w:p>
            <w:pPr>
              <w:pStyle w:val="TableContents"/>
              <w:bidi w:val="0"/>
              <w:spacing w:before="0" w:after="283"/>
              <w:jc w:val="left"/>
              <w:rPr>
                <w:sz w:val="20"/>
              </w:rPr>
            </w:pPr>
            <w:r>
              <w:rPr>
                <w:sz w:val="20"/>
              </w:rPr>
              <w:t>/s/ Gang Li</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1940" w:type="dxa"/>
            <w:tcBorders/>
            <w:vAlign w:val="center"/>
          </w:tcPr>
          <w:p>
            <w:pPr>
              <w:pStyle w:val="TableContents"/>
              <w:bidi w:val="0"/>
              <w:spacing w:before="0" w:after="283"/>
              <w:jc w:val="left"/>
              <w:rPr>
                <w:sz w:val="20"/>
              </w:rPr>
            </w:pPr>
            <w:r>
              <w:rPr>
                <w:sz w:val="20"/>
              </w:rPr>
              <w:t>Gang Li</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1940" w:type="dxa"/>
            <w:tcBorders/>
            <w:vAlign w:val="center"/>
          </w:tcPr>
          <w:p>
            <w:pPr>
              <w:pStyle w:val="TableContents"/>
              <w:bidi w:val="0"/>
              <w:spacing w:before="0" w:after="283"/>
              <w:jc w:val="left"/>
              <w:rPr>
                <w:sz w:val="20"/>
              </w:rPr>
            </w:pPr>
            <w:r>
              <w:rPr>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4" w:name="ea028662601ex13-2.htm"/>
      <w:bookmarkStart w:id="55" w:name="ksea028662601ex132"/>
      <w:bookmarkEnd w:id="54"/>
      <w:bookmarkEnd w:id="55"/>
      <w:r>
        <w:rPr>
          <w:rFonts w:ascii="Times New Roman;Times;Serif" w:hAnsi="Times New Roman;Times;Serif"/>
          <w:b/>
          <w:i w:val="false"/>
          <w:caps w:val="false"/>
          <w:smallCaps w:val="false"/>
          <w:sz w:val="20"/>
        </w:rPr>
        <w:t>Exhibit 13.2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 CHIEF FINANCIAL OFFICER PURSUANT TO SECTION 906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Chanson International Holding (the “Company”) on Form 20-F for the year ended December 31, 2025, as filed with the Securities and Exchange Commission on the date hereof (the “Report”), I, Jihong Cai, Chief Financial Officer of the Company, certify, pursuant to 18 U.S.C. Section 1350, as adopted pursuant to Section 906 of the Sarbanes-Oxley Act of 2002, that to my knowledge:</w:t>
      </w:r>
    </w:p>
    <w:p>
      <w:pPr>
        <w:pStyle w:val="TextBody"/>
        <w:bidi w:val="0"/>
        <w:spacing w:before="0" w:after="0"/>
        <w:ind w:left="0" w:right="0" w:hanging="0"/>
        <w:jc w:val="both"/>
        <w:rPr>
          <w:caps w:val="false"/>
          <w:smallCaps w:val="false"/>
        </w:rPr>
      </w:pPr>
      <w:r>
        <w:rPr>
          <w:caps w:val="false"/>
          <w:smallCaps w:val="false"/>
        </w:rPr>
        <w:t> </w:t>
      </w:r>
    </w:p>
    <w:tbl>
      <w:tblPr>
        <w:tblW w:w="9865" w:type="dxa"/>
        <w:jc w:val="left"/>
        <w:tblInd w:w="0" w:type="dxa"/>
        <w:tblLayout w:type="fixed"/>
        <w:tblCellMar>
          <w:top w:w="0" w:type="dxa"/>
          <w:left w:w="0" w:type="dxa"/>
          <w:bottom w:w="0" w:type="dxa"/>
          <w:right w:w="0" w:type="dxa"/>
        </w:tblCellMar>
      </w:tblPr>
      <w:tblGrid>
        <w:gridCol w:w="260"/>
        <w:gridCol w:w="960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20, 2026</w:t>
      </w:r>
    </w:p>
    <w:p>
      <w:pPr>
        <w:pStyle w:val="TextBody"/>
        <w:bidi w:val="0"/>
        <w:spacing w:before="0" w:after="0"/>
        <w:ind w:left="0" w:right="0" w:hanging="0"/>
        <w:jc w:val="left"/>
        <w:rPr>
          <w:caps w:val="false"/>
          <w:smallCaps w:val="false"/>
        </w:rPr>
      </w:pPr>
      <w:r>
        <w:rPr>
          <w:caps w:val="false"/>
          <w:smallCaps w:val="false"/>
        </w:rPr>
        <w:t> </w:t>
      </w:r>
    </w:p>
    <w:tbl>
      <w:tblPr>
        <w:tblW w:w="2835" w:type="dxa"/>
        <w:jc w:val="left"/>
        <w:tblInd w:w="0" w:type="dxa"/>
        <w:tblLayout w:type="fixed"/>
        <w:tblCellMar>
          <w:top w:w="0" w:type="dxa"/>
          <w:left w:w="0" w:type="dxa"/>
          <w:bottom w:w="0" w:type="dxa"/>
          <w:right w:w="0" w:type="dxa"/>
        </w:tblCellMar>
      </w:tblPr>
      <w:tblGrid>
        <w:gridCol w:w="335"/>
        <w:gridCol w:w="545"/>
        <w:gridCol w:w="1880"/>
        <w:gridCol w:w="75"/>
      </w:tblGrid>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25"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Jihong Cai</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Jihong Cai</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6" w:name="ea028662601ex15-1.htm"/>
      <w:bookmarkStart w:id="57" w:name="ksea028662601ex151"/>
      <w:bookmarkEnd w:id="56"/>
      <w:bookmarkEnd w:id="57"/>
      <w:r>
        <w:rPr>
          <w:rFonts w:ascii="Times New Roman;Times;Serif" w:hAnsi="Times New Roman;Times;Serif"/>
          <w:b/>
          <w:i w:val="false"/>
          <w:caps w:val="false"/>
          <w:smallCaps w:val="false"/>
          <w:sz w:val="20"/>
        </w:rPr>
        <w:t>Exhibit 15.1</w:t>
      </w:r>
      <w:r>
        <w:br w:type="page"/>
      </w:r>
    </w:p>
    <w:p>
      <w:pPr>
        <w:pStyle w:val="TextBody"/>
        <w:bidi w:val="0"/>
        <w:spacing w:before="0" w:after="0"/>
        <w:ind w:left="0" w:right="0" w:hanging="0"/>
        <w:jc w:val="left"/>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3315"/>
        <w:gridCol w:w="2855"/>
        <w:gridCol w:w="2675"/>
      </w:tblGrid>
      <w:tr>
        <w:trPr/>
        <w:tc>
          <w:tcPr>
            <w:tcW w:w="3315" w:type="dxa"/>
            <w:vMerge w:val="restart"/>
            <w:tcBorders/>
            <w:vAlign w:val="center"/>
          </w:tcPr>
          <w:p>
            <w:pPr>
              <w:pStyle w:val="TableContents"/>
              <w:bidi w:val="0"/>
              <w:spacing w:before="0" w:after="283"/>
              <w:jc w:val="both"/>
              <w:rPr>
                <w:caps w:val="false"/>
                <w:smallCaps w:val="false"/>
              </w:rPr>
            </w:pPr>
            <w:r>
              <w:rPr>
                <w:caps w:val="false"/>
                <w:smallCaps w:val="false"/>
              </w:rPr>
              <w:drawing>
                <wp:inline distT="0" distB="0" distL="0" distR="0">
                  <wp:extent cx="2095500" cy="51435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71"/>
                          <a:stretch>
                            <a:fillRect/>
                          </a:stretch>
                        </pic:blipFill>
                        <pic:spPr bwMode="auto">
                          <a:xfrm>
                            <a:off x="0" y="0"/>
                            <a:ext cx="2095500" cy="514350"/>
                          </a:xfrm>
                          <a:prstGeom prst="rect">
                            <a:avLst/>
                          </a:prstGeom>
                        </pic:spPr>
                      </pic:pic>
                    </a:graphicData>
                  </a:graphic>
                </wp:inline>
              </w:drawing>
            </w:r>
          </w:p>
        </w:tc>
        <w:tc>
          <w:tcPr>
            <w:tcW w:w="2855" w:type="dxa"/>
            <w:tcBorders/>
            <w:vAlign w:val="center"/>
          </w:tcPr>
          <w:p>
            <w:pPr>
              <w:pStyle w:val="TableContents"/>
              <w:bidi w:val="0"/>
              <w:spacing w:before="0" w:after="283"/>
              <w:jc w:val="left"/>
              <w:rPr>
                <w:caps w:val="false"/>
                <w:smallCaps w:val="false"/>
              </w:rPr>
            </w:pPr>
            <w:r>
              <w:rPr>
                <w:caps w:val="false"/>
                <w:smallCaps w:val="false"/>
              </w:rPr>
              <w:t> </w:t>
            </w:r>
          </w:p>
        </w:tc>
        <w:tc>
          <w:tcPr>
            <w:tcW w:w="26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15" w:type="dxa"/>
            <w:vMerge w:val="continue"/>
            <w:tcBorders/>
            <w:vAlign w:val="center"/>
          </w:tcPr>
          <w:p>
            <w:pPr>
              <w:pStyle w:val="Normal"/>
              <w:bidi w:val="0"/>
              <w:jc w:val="left"/>
              <w:rPr/>
            </w:pPr>
            <w:r>
              <w:rPr/>
            </w:r>
          </w:p>
        </w:tc>
        <w:tc>
          <w:tcPr>
            <w:tcW w:w="2855" w:type="dxa"/>
            <w:tcBorders/>
            <w:vAlign w:val="center"/>
          </w:tcPr>
          <w:p>
            <w:pPr>
              <w:pStyle w:val="TableContents"/>
              <w:bidi w:val="0"/>
              <w:spacing w:before="0" w:after="0"/>
              <w:ind w:left="0" w:right="0" w:hanging="0"/>
              <w:jc w:val="right"/>
              <w:rPr>
                <w:caps w:val="false"/>
                <w:smallCaps w:val="false"/>
              </w:rPr>
            </w:pPr>
            <w:r>
              <w:rPr>
                <w:rFonts w:eastAsia="Times New Roman;Times;Serif"/>
                <w:b w:val="false"/>
                <w:i w:val="false"/>
                <w:caps w:val="false"/>
                <w:smallCaps w:val="false"/>
                <w:sz w:val="20"/>
              </w:rPr>
              <w:t>中国广州市珠江新城珠江东路</w:t>
            </w:r>
            <w:r>
              <w:rPr>
                <w:rFonts w:ascii="Times New Roman;Times;Serif" w:hAnsi="Times New Roman;Times;Serif"/>
                <w:b w:val="false"/>
                <w:i w:val="false"/>
                <w:caps w:val="false"/>
                <w:smallCaps w:val="false"/>
                <w:sz w:val="20"/>
              </w:rPr>
              <w:t>6</w:t>
            </w:r>
            <w:r>
              <w:rPr>
                <w:rFonts w:eastAsia="Times New Roman;Times;Serif"/>
                <w:b w:val="false"/>
                <w:i w:val="false"/>
                <w:caps w:val="false"/>
                <w:smallCaps w:val="false"/>
                <w:sz w:val="20"/>
              </w:rPr>
              <w:t>号</w:t>
            </w:r>
          </w:p>
          <w:p>
            <w:pPr>
              <w:pStyle w:val="TableContents"/>
              <w:bidi w:val="0"/>
              <w:spacing w:before="0" w:after="0"/>
              <w:ind w:left="0" w:right="0" w:hanging="0"/>
              <w:jc w:val="right"/>
              <w:rPr>
                <w:rFonts w:eastAsia="Times New Roman;Times;Serif"/>
                <w:b w:val="false"/>
                <w:i w:val="false"/>
                <w:caps w:val="false"/>
                <w:smallCaps w:val="false"/>
                <w:sz w:val="20"/>
              </w:rPr>
            </w:pPr>
            <w:r>
              <w:rPr>
                <w:rFonts w:eastAsia="Times New Roman;Times;Serif"/>
                <w:b w:val="false"/>
                <w:i w:val="false"/>
                <w:caps w:val="false"/>
                <w:smallCaps w:val="false"/>
                <w:sz w:val="20"/>
              </w:rPr>
              <w:t>广州周大福金融中心</w:t>
            </w:r>
          </w:p>
          <w:p>
            <w:pPr>
              <w:pStyle w:val="TableContents"/>
              <w:bidi w:val="0"/>
              <w:spacing w:before="0" w:after="0"/>
              <w:ind w:left="0" w:right="0" w:hanging="0"/>
              <w:jc w:val="right"/>
              <w:rPr>
                <w:caps w:val="false"/>
                <w:smallCaps w:val="false"/>
              </w:rPr>
            </w:pPr>
            <w:r>
              <w:rPr>
                <w:rFonts w:ascii="Times New Roman;Times;Serif" w:hAnsi="Times New Roman;Times;Serif"/>
                <w:b w:val="false"/>
                <w:i w:val="false"/>
                <w:caps w:val="false"/>
                <w:smallCaps w:val="false"/>
                <w:sz w:val="20"/>
              </w:rPr>
              <w:t>14</w:t>
            </w:r>
            <w:r>
              <w:rPr>
                <w:rFonts w:eastAsia="Times New Roman;Times;Serif"/>
                <w:b w:val="false"/>
                <w:i w:val="false"/>
                <w:caps w:val="false"/>
                <w:smallCaps w:val="false"/>
                <w:sz w:val="20"/>
              </w:rPr>
              <w:t>层、</w:t>
            </w:r>
            <w:r>
              <w:rPr>
                <w:rFonts w:ascii="Times New Roman;Times;Serif" w:hAnsi="Times New Roman;Times;Serif"/>
                <w:b w:val="false"/>
                <w:i w:val="false"/>
                <w:caps w:val="false"/>
                <w:smallCaps w:val="false"/>
                <w:sz w:val="20"/>
              </w:rPr>
              <w:t>15</w:t>
            </w:r>
            <w:r>
              <w:rPr>
                <w:rFonts w:eastAsia="Times New Roman;Times;Serif"/>
                <w:b w:val="false"/>
                <w:i w:val="false"/>
                <w:caps w:val="false"/>
                <w:smallCaps w:val="false"/>
                <w:sz w:val="20"/>
              </w:rPr>
              <w:t>层</w:t>
            </w:r>
          </w:p>
          <w:p>
            <w:pPr>
              <w:pStyle w:val="TableContents"/>
              <w:bidi w:val="0"/>
              <w:spacing w:before="0" w:after="0"/>
              <w:ind w:left="0" w:right="0" w:hanging="0"/>
              <w:jc w:val="right"/>
              <w:rPr>
                <w:caps w:val="false"/>
                <w:smallCaps w:val="false"/>
              </w:rPr>
            </w:pPr>
            <w:r>
              <w:rPr>
                <w:rFonts w:eastAsia="Times New Roman;Times;Serif"/>
                <w:b w:val="false"/>
                <w:i w:val="false"/>
                <w:caps w:val="false"/>
                <w:smallCaps w:val="false"/>
                <w:sz w:val="20"/>
              </w:rPr>
              <w:t>邮编：</w:t>
            </w:r>
            <w:r>
              <w:rPr>
                <w:rFonts w:ascii="Times New Roman;Times;Serif" w:hAnsi="Times New Roman;Times;Serif"/>
                <w:b w:val="false"/>
                <w:i w:val="false"/>
                <w:caps w:val="false"/>
                <w:smallCaps w:val="false"/>
                <w:sz w:val="20"/>
              </w:rPr>
              <w:t>510623</w:t>
            </w:r>
          </w:p>
        </w:tc>
        <w:tc>
          <w:tcPr>
            <w:tcW w:w="2675"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14/F, 15/F,</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CTF Finance Centre,</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No.6,Zhujiang East Road,</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Zhujiang New Town</w:t>
            </w:r>
          </w:p>
          <w:p>
            <w:pPr>
              <w:pStyle w:val="TableContents"/>
              <w:bidi w:val="0"/>
              <w:spacing w:before="0" w:after="0"/>
              <w:ind w:left="0" w:right="0" w:hanging="0"/>
              <w:jc w:val="right"/>
              <w:rPr>
                <w:caps w:val="false"/>
                <w:smallCaps w:val="false"/>
              </w:rPr>
            </w:pPr>
            <w:r>
              <w:rPr>
                <w:rFonts w:ascii="Times New Roman;Times;Serif" w:hAnsi="Times New Roman;Times;Serif"/>
                <w:b w:val="false"/>
                <w:i w:val="false"/>
                <w:caps w:val="false"/>
                <w:smallCaps w:val="false"/>
                <w:sz w:val="20"/>
              </w:rPr>
              <w:t>Guangzhou</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P.R.China,510623</w:t>
            </w:r>
          </w:p>
        </w:tc>
      </w:tr>
      <w:tr>
        <w:trPr/>
        <w:tc>
          <w:tcPr>
            <w:tcW w:w="8845"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8845" w:type="dxa"/>
            <w:gridSpan w:val="3"/>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dentons.cn</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Letter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April 20,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Chanson International Holding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B9 Xinjiang Chuangbo Zhigu Industrial Park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100 Guangyuan Road, Shuimogou District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Urumqi, Xinjiang,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Dear Sirs or Madams,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reference to our firm under the headings of “Item 3. Key Information—Our Corporate Structure—Risks Associated with our Corporate Structure and the VIE Agreements,” “Item 3. Key Information—D. Risk Factors—Risks Relating to Our Corporate Structure,” “Item 3. Key Information—D. Risk Factors—Risks Relating to Doing Business in the PRC,” “Item 4. Information on the Company—B. Business Overview—Regulations—PRC Regulations,” and “Item 10. Additional Information—E. Taxation—People’s Republic of China Enterprise Taxation” in The Company’s Annual Report on Form 20-F for year ended December 31, 2025, which will be filed with the Securities and Exchange Commission in the month of April 2026.</w:t>
      </w:r>
    </w:p>
    <w:p>
      <w:pPr>
        <w:pStyle w:val="TextBody"/>
        <w:bidi w:val="0"/>
        <w:spacing w:before="0" w:after="0"/>
        <w:ind w:left="0" w:right="0" w:hanging="0"/>
        <w:jc w:val="both"/>
        <w:rPr>
          <w:caps w:val="false"/>
          <w:smallCaps w:val="false"/>
        </w:rPr>
      </w:pPr>
      <w:r>
        <w:rPr>
          <w:caps w:val="false"/>
          <w:smallCaps w:val="false"/>
        </w:rPr>
        <w:t> </w:t>
      </w:r>
    </w:p>
    <w:tbl>
      <w:tblPr>
        <w:tblW w:w="4280" w:type="dxa"/>
        <w:jc w:val="left"/>
        <w:tblInd w:w="0" w:type="dxa"/>
        <w:tblLayout w:type="fixed"/>
        <w:tblCellMar>
          <w:top w:w="0" w:type="dxa"/>
          <w:left w:w="0" w:type="dxa"/>
          <w:bottom w:w="0" w:type="dxa"/>
          <w:right w:w="0" w:type="dxa"/>
        </w:tblCellMar>
      </w:tblPr>
      <w:tblGrid>
        <w:gridCol w:w="4205"/>
        <w:gridCol w:w="75"/>
      </w:tblGrid>
      <w:tr>
        <w:trPr/>
        <w:tc>
          <w:tcPr>
            <w:tcW w:w="4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0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Beijing Dacheng Law Offices, LLP (Guangzhou)</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Beijing Dacheng Law Offices, LLP (Guangzhou)</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right"/>
        <w:rPr>
          <w:b/>
        </w:rPr>
      </w:pPr>
      <w:bookmarkStart w:id="58" w:name="ea028662601ex15-2.htm"/>
      <w:bookmarkStart w:id="59" w:name="ksea028662601ex152"/>
      <w:bookmarkEnd w:id="58"/>
      <w:bookmarkEnd w:id="59"/>
      <w:r>
        <w:rPr>
          <w:b/>
        </w:rPr>
        <w:t>Exhibit 15.2</w:t>
      </w:r>
      <w:r>
        <w:br w:type="page"/>
      </w:r>
    </w:p>
    <w:p>
      <w:pPr>
        <w:pStyle w:val="TextBody"/>
        <w:bidi w:val="0"/>
        <w:spacing w:before="0" w:after="0"/>
        <w:ind w:left="0" w:right="0" w:hanging="0"/>
        <w:jc w:val="left"/>
        <w:rPr>
          <w:caps w:val="false"/>
          <w:smallCaps w:val="false"/>
        </w:rPr>
      </w:pPr>
      <w:r>
        <w:rPr>
          <w:caps w:val="false"/>
          <w:smallCaps w:val="false"/>
        </w:rPr>
        <w:t> </w:t>
      </w:r>
    </w:p>
    <w:tbl>
      <w:tblPr>
        <w:tblW w:w="6485" w:type="dxa"/>
        <w:jc w:val="left"/>
        <w:tblInd w:w="0" w:type="dxa"/>
        <w:tblLayout w:type="fixed"/>
        <w:tblCellMar>
          <w:top w:w="0" w:type="dxa"/>
          <w:left w:w="0" w:type="dxa"/>
          <w:bottom w:w="0" w:type="dxa"/>
          <w:right w:w="0" w:type="dxa"/>
        </w:tblCellMar>
      </w:tblPr>
      <w:tblGrid>
        <w:gridCol w:w="3660"/>
        <w:gridCol w:w="2825"/>
      </w:tblGrid>
      <w:tr>
        <w:trPr/>
        <w:tc>
          <w:tcPr>
            <w:tcW w:w="3660" w:type="dxa"/>
            <w:tcBorders/>
            <w:vAlign w:val="center"/>
          </w:tcPr>
          <w:p>
            <w:pPr>
              <w:pStyle w:val="TableContents"/>
              <w:bidi w:val="0"/>
              <w:spacing w:before="0" w:after="283"/>
              <w:jc w:val="left"/>
              <w:rPr/>
            </w:pPr>
            <w:r>
              <w:rPr/>
              <w:drawing>
                <wp:inline distT="0" distB="0" distL="0" distR="0">
                  <wp:extent cx="2314575" cy="7524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72"/>
                          <a:stretch>
                            <a:fillRect/>
                          </a:stretch>
                        </pic:blipFill>
                        <pic:spPr bwMode="auto">
                          <a:xfrm>
                            <a:off x="0" y="0"/>
                            <a:ext cx="2314575" cy="752475"/>
                          </a:xfrm>
                          <a:prstGeom prst="rect">
                            <a:avLst/>
                          </a:prstGeom>
                        </pic:spPr>
                      </pic:pic>
                    </a:graphicData>
                  </a:graphic>
                </wp:inline>
              </w:drawing>
            </w:r>
          </w:p>
        </w:tc>
        <w:tc>
          <w:tcPr>
            <w:tcW w:w="2825"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Assentsure PAC</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UEN – 201816648N</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180B Bencoolen Street #03-01</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Bencoolen Singapore 189648</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http://www.assentsure.com.sg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the Registration Statements on Form F-3 (File No. 333-289600) and Form S-8 (File No. 333-288739) of our report dated April 20, 2026, relating to the consolidated financial statements of Chanson International Holding and its subsidiaries, appearing in this Annual Report on Form 20-F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Assentsure PAC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20, 2026</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2.jpeg"/><Relationship Id="rId11" Type="http://schemas.openxmlformats.org/officeDocument/2006/relationships/image" Target="media/image2.jpeg"/><Relationship Id="rId12" Type="http://schemas.openxmlformats.org/officeDocument/2006/relationships/image" Target="media/image2.jpeg"/><Relationship Id="rId13" Type="http://schemas.openxmlformats.org/officeDocument/2006/relationships/image" Target="media/image3.jpeg"/><Relationship Id="rId14" Type="http://schemas.openxmlformats.org/officeDocument/2006/relationships/image" Target="media/image3.jpeg"/><Relationship Id="rId15" Type="http://schemas.openxmlformats.org/officeDocument/2006/relationships/image" Target="media/image4.jpeg"/><Relationship Id="rId16" Type="http://schemas.openxmlformats.org/officeDocument/2006/relationships/image" Target="media/image4.jpeg"/><Relationship Id="rId17" Type="http://schemas.openxmlformats.org/officeDocument/2006/relationships/image" Target="media/image4.jpeg"/><Relationship Id="rId18" Type="http://schemas.openxmlformats.org/officeDocument/2006/relationships/image" Target="media/image4.jpeg"/><Relationship Id="rId19" Type="http://schemas.openxmlformats.org/officeDocument/2006/relationships/image" Target="media/image5.jpeg"/><Relationship Id="rId20" Type="http://schemas.openxmlformats.org/officeDocument/2006/relationships/image" Target="media/image5.jpeg"/><Relationship Id="rId21" Type="http://schemas.openxmlformats.org/officeDocument/2006/relationships/image" Target="media/image5.jpeg"/><Relationship Id="rId22" Type="http://schemas.openxmlformats.org/officeDocument/2006/relationships/image" Target="media/image5.jpeg"/><Relationship Id="rId23" Type="http://schemas.openxmlformats.org/officeDocument/2006/relationships/image" Target="media/image5.jpeg"/><Relationship Id="rId24" Type="http://schemas.openxmlformats.org/officeDocument/2006/relationships/image" Target="media/image5.jpeg"/><Relationship Id="rId25" Type="http://schemas.openxmlformats.org/officeDocument/2006/relationships/image" Target="media/image5.jpeg"/><Relationship Id="rId26" Type="http://schemas.openxmlformats.org/officeDocument/2006/relationships/image" Target="media/image5.jpeg"/><Relationship Id="rId27" Type="http://schemas.openxmlformats.org/officeDocument/2006/relationships/image" Target="media/image6.jpeg"/><Relationship Id="rId28" Type="http://schemas.openxmlformats.org/officeDocument/2006/relationships/image" Target="media/image3.jpeg"/><Relationship Id="rId29" Type="http://schemas.openxmlformats.org/officeDocument/2006/relationships/image" Target="media/image3.jpeg"/><Relationship Id="rId30" Type="http://schemas.openxmlformats.org/officeDocument/2006/relationships/image" Target="media/image3.jpeg"/><Relationship Id="rId31" Type="http://schemas.openxmlformats.org/officeDocument/2006/relationships/image" Target="media/image3.jpeg"/><Relationship Id="rId32" Type="http://schemas.openxmlformats.org/officeDocument/2006/relationships/image" Target="media/image7.jpeg"/><Relationship Id="rId33" Type="http://schemas.openxmlformats.org/officeDocument/2006/relationships/image" Target="media/image8.jpeg"/><Relationship Id="rId34" Type="http://schemas.openxmlformats.org/officeDocument/2006/relationships/image" Target="media/image8.jpeg"/><Relationship Id="rId35" Type="http://schemas.openxmlformats.org/officeDocument/2006/relationships/image" Target="media/image9.jpeg"/><Relationship Id="rId36" Type="http://schemas.openxmlformats.org/officeDocument/2006/relationships/image" Target="media/image9.jpeg"/><Relationship Id="rId37" Type="http://schemas.openxmlformats.org/officeDocument/2006/relationships/image" Target="media/image8.jpeg"/><Relationship Id="rId38" Type="http://schemas.openxmlformats.org/officeDocument/2006/relationships/image" Target="media/image9.jpeg"/><Relationship Id="rId39" Type="http://schemas.openxmlformats.org/officeDocument/2006/relationships/image" Target="media/image10.jpeg"/><Relationship Id="rId40" Type="http://schemas.openxmlformats.org/officeDocument/2006/relationships/image" Target="media/image11.jpeg"/><Relationship Id="rId41" Type="http://schemas.openxmlformats.org/officeDocument/2006/relationships/image" Target="media/image10.jpeg"/><Relationship Id="rId42" Type="http://schemas.openxmlformats.org/officeDocument/2006/relationships/image" Target="media/image11.jpeg"/><Relationship Id="rId43" Type="http://schemas.openxmlformats.org/officeDocument/2006/relationships/hyperlink" Target="http://www.sec.gov/Archives/edgar/data/1825349/000121390026028331/ea028180501ex3-1.htm" TargetMode="External"/><Relationship Id="rId44" Type="http://schemas.openxmlformats.org/officeDocument/2006/relationships/hyperlink" Target="http://www.sec.gov/Archives/edgar/data/1825349/000121390025065280/ea024917301ex4-2_chanson.htm" TargetMode="External"/><Relationship Id="rId45" Type="http://schemas.openxmlformats.org/officeDocument/2006/relationships/hyperlink" Target="https://www.sec.gov/Archives/edgar/data/1825349/000121390021019164/ea138629ex10-1_chansoninter.htm" TargetMode="External"/><Relationship Id="rId46" Type="http://schemas.openxmlformats.org/officeDocument/2006/relationships/hyperlink" Target="https://www.sec.gov/Archives/edgar/data/1825349/000121390023021470/ea175460ex10-3_chansoninter.htm" TargetMode="External"/><Relationship Id="rId47" Type="http://schemas.openxmlformats.org/officeDocument/2006/relationships/hyperlink" Target="https://www.sec.gov/Archives/edgar/data/1825349/000121390023021470/ea175460ex10-4_chansoninter.htm" TargetMode="External"/><Relationship Id="rId48" Type="http://schemas.openxmlformats.org/officeDocument/2006/relationships/hyperlink" Target="https://www.sec.gov/Archives/edgar/data/1825349/000121390023021470/ea175460ex10-5_chansoninter.htm" TargetMode="External"/><Relationship Id="rId49" Type="http://schemas.openxmlformats.org/officeDocument/2006/relationships/hyperlink" Target="https://www.sec.gov/Archives/edgar/data/1825349/000121390023021470/ea175460ex10-6_chansoninter.htm" TargetMode="External"/><Relationship Id="rId50" Type="http://schemas.openxmlformats.org/officeDocument/2006/relationships/hyperlink" Target="https://www.sec.gov/Archives/edgar/data/1825349/000121390023021470/ea175460ex10-7_chansoninter.htm" TargetMode="External"/><Relationship Id="rId51" Type="http://schemas.openxmlformats.org/officeDocument/2006/relationships/hyperlink" Target="https://www.sec.gov/Archives/edgar/data/1825349/000121390021019164/ea138629ex10-8_chansoninter.htm" TargetMode="External"/><Relationship Id="rId52" Type="http://schemas.openxmlformats.org/officeDocument/2006/relationships/hyperlink" Target="https://www.sec.gov/Archives/edgar/data/1825349/000121390021045366/ea146563ex10-16_chansoninter.htm" TargetMode="External"/><Relationship Id="rId53" Type="http://schemas.openxmlformats.org/officeDocument/2006/relationships/hyperlink" Target="http://www.sec.gov/Archives/edgar/data/1825349/000121390024037819/ea020440601ex4-9_chanson.htm" TargetMode="External"/><Relationship Id="rId54" Type="http://schemas.openxmlformats.org/officeDocument/2006/relationships/hyperlink" Target="http://www.sec.gov/Archives/edgar/data/1825349/000121390024037819/ea020440601ex4-10_chanson.htm" TargetMode="External"/><Relationship Id="rId55" Type="http://schemas.openxmlformats.org/officeDocument/2006/relationships/hyperlink" Target="http://www.sec.gov/Archives/edgar/data/1825349/000121390024037819/ea020440601ex4-11_chanson.htm" TargetMode="External"/><Relationship Id="rId56" Type="http://schemas.openxmlformats.org/officeDocument/2006/relationships/hyperlink" Target="https://www.sec.gov/Archives/edgar/data/1825349/000121390024037819/ea020440601ex4-12_chanson.htm" TargetMode="External"/><Relationship Id="rId57" Type="http://schemas.openxmlformats.org/officeDocument/2006/relationships/hyperlink" Target="https://www.sec.gov/Archives/edgar/data/1825349/000121390024037819/ea020440601ex4-13_chanson.htm" TargetMode="External"/><Relationship Id="rId58" Type="http://schemas.openxmlformats.org/officeDocument/2006/relationships/hyperlink" Target="https://www.sec.gov/Archives/edgar/data/1825349/000121390024037819/ea020440601ex4-14_chanson.htm" TargetMode="External"/><Relationship Id="rId59" Type="http://schemas.openxmlformats.org/officeDocument/2006/relationships/hyperlink" Target="https://www.sec.gov/Archives/edgar/data/1825349/000121390024079506/ea021478301ex10-1_chanson.htm" TargetMode="External"/><Relationship Id="rId60" Type="http://schemas.openxmlformats.org/officeDocument/2006/relationships/hyperlink" Target="https://www.sec.gov/Archives/edgar/data/1825349/000121390024079506/ea021478301ex10-2_chanson.htm" TargetMode="External"/><Relationship Id="rId61" Type="http://schemas.openxmlformats.org/officeDocument/2006/relationships/hyperlink" Target="https://www.sec.gov/Archives/edgar/data/1825349/000121390024079506/ea021478301ex10-3_chanson.htm" TargetMode="External"/><Relationship Id="rId62" Type="http://schemas.openxmlformats.org/officeDocument/2006/relationships/hyperlink" Target="http://www.sec.gov/Archives/edgar/data/1825349/000121390025055417/ea024614001ex10-1_chanson.htm" TargetMode="External"/><Relationship Id="rId63" Type="http://schemas.openxmlformats.org/officeDocument/2006/relationships/hyperlink" Target="http://www.sec.gov/Archives/edgar/data/1825349/000121390025055417/ea024614001ex10-2_chanson.htm" TargetMode="External"/><Relationship Id="rId64" Type="http://schemas.openxmlformats.org/officeDocument/2006/relationships/hyperlink" Target="http://www.sec.gov/Archives/edgar/data/1825349/000121390025107649/ea026453101ex10-1_chanson.htm" TargetMode="External"/><Relationship Id="rId65" Type="http://schemas.openxmlformats.org/officeDocument/2006/relationships/hyperlink" Target="http://www.sec.gov/Archives/edgar/data/1825349/000121390026001985/ea027209701ex10-1_chanson.htm" TargetMode="External"/><Relationship Id="rId66" Type="http://schemas.openxmlformats.org/officeDocument/2006/relationships/hyperlink" Target="http://www.sec.gov/Archives/edgar/data/1825349/000121390021019164/ea138629ex99-1_chansoninter.htm" TargetMode="External"/><Relationship Id="rId67" Type="http://schemas.openxmlformats.org/officeDocument/2006/relationships/hyperlink" Target="https://www.sec.gov/Archives/edgar/data/1825349/000121390024037819/ea020440601ex11-2_chanson.htm" TargetMode="External"/><Relationship Id="rId68" Type="http://schemas.openxmlformats.org/officeDocument/2006/relationships/hyperlink" Target="http://www.sec.gov/Archives/edgar/data/1825349/000121390023056197/ea181614ex16-1_chansoninter.htm" TargetMode="External"/><Relationship Id="rId69" Type="http://schemas.openxmlformats.org/officeDocument/2006/relationships/hyperlink" Target="https://www.sec.gov/Archives/edgar/data/1825349/000121390024037819/ea020440601ex97-1_chanson.htm" TargetMode="External"/><Relationship Id="rId70" Type="http://schemas.openxmlformats.org/officeDocument/2006/relationships/image" Target="media/image12.jpeg"/><Relationship Id="rId71" Type="http://schemas.openxmlformats.org/officeDocument/2006/relationships/image" Target="media/image13.jpeg"/><Relationship Id="rId72" Type="http://schemas.openxmlformats.org/officeDocument/2006/relationships/image" Target="media/image14.jpeg"/><Relationship Id="rId73" Type="http://schemas.openxmlformats.org/officeDocument/2006/relationships/fontTable" Target="fontTable.xml"/><Relationship Id="rId7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Pages>
  <Words>128724</Words>
  <Characters>689713</Characters>
  <CharactersWithSpaces>822101</CharactersWithSpaces>
  <Paragraphs>17709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