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chsn6k081926.htm"/>
      <w:bookmarkStart w:id="1" w:name="kschsn6k081926"/>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Chanson International Holding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B9 Xinjiang Chuangbo Zhigu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100 Guangyuan Road, Shuimogou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Urumqi, Xinjiang,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Form 20-F </w:t>
      </w:r>
      <w:r>
        <w:rPr>
          <w:rFonts w:ascii="Calibri;Helvetica;Sans-Serif" w:hAnsi="Calibri;Helvetica;Sans-Serif"/>
          <w:b w:val="false"/>
          <w:i w:val="false"/>
          <w:caps w:val="false"/>
          <w:smallCaps w:val="false"/>
          <w:sz w:val="20"/>
        </w:rPr>
        <w:t>☒          </w:t>
      </w:r>
      <w:r>
        <w:rPr>
          <w:rFonts w:ascii="Times New Roman;Times;Serif" w:hAnsi="Times New Roman;Times;Serif"/>
          <w:b w:val="false"/>
          <w:i w:val="false"/>
          <w:caps w:val="false"/>
          <w:smallCaps w:val="false"/>
          <w:sz w:val="20"/>
        </w:rPr>
        <w:t>Form 40-F </w:t>
      </w:r>
      <w:r>
        <w:rPr>
          <w:rFonts w:ascii="Calibri;Helvetica;Sans-Serif" w:hAnsi="Calibri;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Chanson International Holding (the “Company”) entered into a securities purchase agreement (the “Securities Purchase Agreement”) with certain investors for a private placement offering (the “Private Placement”) of 5,000,000 Class A ordinary shares of the Company, par value US$0.01 per share (the “Class A Ordinary Shares”), at the subscription price of US$0.80 per Class A Ordinary Share, for aggregate gross proceeds of US$4,000,000.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is expected to close in August 2026, subject to satisfaction or waiver of the conditions precedent set forth in the Securities Purchase Agreement. The Company intends to use the proceeds from the Private Placement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Securities Purchase Agreement does not purport to describe all of the terms and conditions thereof and is qualified in its entirety by reference to the form of Securities Purchase Agreement, which is filed as Exhibit 10.1 hereto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contents of this Current Report on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333-288739) filed with the SEC on July 18, 2025 and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333-289600) that was initially filed with the SEC on August 14, 2025 and declared effective by the SEC on September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9"/>
        <w:gridCol w:w="60"/>
        <w:gridCol w:w="9156"/>
      </w:tblGrid>
      <w:tr>
        <w:trPr/>
        <w:tc>
          <w:tcPr>
            <w:tcW w:w="98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15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6" w:type="dxa"/>
            <w:tcBorders/>
            <w:shd w:fill="FFFFFF" w:val="clear"/>
            <w:tcMar>
              <w:bottom w:w="0" w:type="dxa"/>
            </w:tcMar>
            <w:vAlign w:val="center"/>
          </w:tcPr>
          <w:p>
            <w:pPr>
              <w:pStyle w:val="TableContents"/>
              <w:bidi w:val="0"/>
              <w:spacing w:before="0" w:after="283"/>
              <w:jc w:val="both"/>
              <w:rPr/>
            </w:pPr>
            <w:hyperlink w:anchor="chsnex10-1.htm">
              <w:r>
                <w:rPr>
                  <w:rStyle w:val="InternetLink"/>
                  <w:rFonts w:ascii="Times New Roman;Times;Serif" w:hAnsi="Times New Roman;Times;Serif"/>
                  <w:sz w:val="20"/>
                </w:rPr>
                <w:t>Form of Share Purchase Agreement dated August 14, 2026 between Chanson International Holding and Purchasers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1865"/>
        <w:gridCol w:w="545"/>
        <w:gridCol w:w="3095"/>
      </w:tblGrid>
      <w:tr>
        <w:trPr/>
        <w:tc>
          <w:tcPr>
            <w:tcW w:w="1865"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Chanson International Holding</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20,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Gang Li</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Gang Li</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Director, 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right"/>
        <w:rPr>
          <w:rFonts w:ascii="Times New Roman;Times;Serif" w:hAnsi="Times New Roman;Times;Serif"/>
          <w:b/>
          <w:i w:val="false"/>
          <w:caps w:val="false"/>
          <w:smallCaps w:val="false"/>
          <w:sz w:val="20"/>
        </w:rPr>
      </w:pPr>
      <w:bookmarkStart w:id="2" w:name="chsnex10-1.htm"/>
      <w:bookmarkStart w:id="3" w:name="kschsn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720" w:right="0" w:hanging="720"/>
        <w:jc w:val="center"/>
        <w:rPr>
          <w:caps/>
        </w:rPr>
      </w:pPr>
      <w:r>
        <w:rPr>
          <w:caps/>
        </w:rPr>
        <w:t> </w:t>
      </w:r>
    </w:p>
    <w:p>
      <w:pPr>
        <w:pStyle w:val="TextBody"/>
        <w:bidi w:val="0"/>
        <w:spacing w:before="0" w:after="0"/>
        <w:ind w:left="720" w:right="0" w:hanging="72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720" w:right="0" w:hanging="72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August 14, 2026 by and among Chanson International Holding, an exempt company incorporated under the laws of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the purchasers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 Each of the Company and the Purchasers is referred to herein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the Company desires to issue and sell to each Purchaser, and each Purchaser, severally and not jointly, desires to purchase from the Company, certain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Ordinary Shares</w:t>
      </w:r>
      <w:r>
        <w:rPr>
          <w:rFonts w:ascii="Times New Roman;Times;Serif" w:hAnsi="Times New Roman;Times;Serif"/>
          <w:b w:val="false"/>
          <w:i w:val="false"/>
          <w:caps w:val="false"/>
          <w:smallCaps w:val="false"/>
          <w:sz w:val="20"/>
        </w:rPr>
        <w:t>” means the Class A ordinary shares of the Company, par value $0.01 per share, and any other class of securities into which such Class A Ordinary Shares may hereafter be reclassified or 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means the closing of the purchase and sale of the Purchased Shares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Purchased Shares, in each case, have been satisfied or waived, but in no event later than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on which such obligations are satisfied or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Company, and (ii) if this Agreement is signed between midnight (New York City time) and 9:00 a.m. (New York City time) on any Trading Day, no later than 9:01 a.m. (New York City time) on the date hereof, unless otherwise instructed as to an earlier time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governmental authority, agency, instrumentality, department, commission, board, bureau, central bank, authority, court or other tribunal, in each case whether executive, legislative, judicial, regulatory or administrative, having jurisdiction over the Company, any of its subsidiaries or their respective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a material adverse effect on the legality, validity or enforceability of any Transaction Document, (b) a material adverse effect on the results of operations, assets, business, or condition (financial or otherwise) of the Company and its subsidiaries, taken as a whole, or (c) a material adverse effect on the Company’s ability to perform in any material respect on a timely basis its obligations under any Transaction Document; provided that, with respect to clause (b), none of the following shall be deemed in themselves, either alone or in combination, to constitute, and none of the following shall be taken into account in determining whether there has been or will be, a Material Adverse Effect: any adverse change, effect, event, occurrence, state of facts or development attributable to (i) any downturn after the date hereof in general economic conditions, including, without limitation, changes in the credit, debt, securities, financial, capital markets, or in the industry in which the Company and its subsidiaries operate; (ii) the taking of any action required by this Agreement or any other Transaction Document; (iii) any change after the date hereof in applicable Laws after the date hereof; (iv) any actual or potential sequester, stoppage, shutdown, default or similar event or occurrence by or involving any Governmental Authority affecting a national or federal government as a whole; (v) any change in the GAAP (as defined below) after the date hereof; (vi) the commencement, continuation or escalation of a war, riots, material armed hostilities or other material international or national calamity or act of terrorism directly or indirectly involving countries in which the Company and its subsidiaries operate; (vii) effects arising from or relating to, following the date hereof, any earthquake, hurricane, tsunami, tornado, flood, mudslide or other natural disaster, weather condition, explosion or fire or other force majeure event; (viii) changes in, or effects arising from or relating to, any epidemic, pandemic or disease outbreak, curfews or other restrictions that relate to, or arise out of, any epidemic, pandemic or disease outbreak or material worsening of such conditions threatened or existing as of the date hereof; and (ix) the failure of the Company and its subsidiaries to meet or achieve the results set forth in any internal projection.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 Equivalents</w:t>
      </w:r>
      <w:r>
        <w:rPr>
          <w:rFonts w:ascii="Times New Roman;Times;Serif" w:hAnsi="Times New Roman;Times;Serif"/>
          <w:b w:val="false"/>
          <w:i w:val="false"/>
          <w:caps w:val="false"/>
          <w:smallCaps w:val="false"/>
          <w:sz w:val="20"/>
        </w:rPr>
        <w:t>” means any securities of the Company which would entitle the holder thereof to acquire at any time Class A Ordinary Shares, including, without limitation, any debt, preferred share, right, option, warrant or other instrument that is at any time convertible into or exercisable or exchangeable for, or otherwise entitles the holder thereof to receive,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Purchased Shares</w:t>
      </w:r>
      <w:r>
        <w:rPr>
          <w:rFonts w:ascii="Times New Roman;Times;Serif" w:hAnsi="Times New Roman;Times;Serif"/>
          <w:b w:val="false"/>
          <w:i w:val="false"/>
          <w:caps w:val="false"/>
          <w:smallCaps w:val="false"/>
          <w:sz w:val="20"/>
        </w:rPr>
        <w:t xml:space="preserve">” means the Class A Ordinary Shares that each Purchaser will purchase at the Closing, the number of which is set forth opposite such Purchaser’s name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means Rules 901 through 904, inclusive, under the Securities Act of 1933, as such Rules may from time to time be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3.1(g)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xml:space="preserve">” means, as to each Purchaser, the aggregate amount to be paid for the Purchased Shares purchased by such Purchaser hereunder which is set forth opposite such Purchaser’s name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Price</w:t>
      </w:r>
      <w:r>
        <w:rPr>
          <w:rFonts w:ascii="Times New Roman;Times;Serif" w:hAnsi="Times New Roman;Times;Serif"/>
          <w:b w:val="false"/>
          <w:i w:val="false"/>
          <w:caps w:val="false"/>
          <w:smallCaps w:val="false"/>
          <w:sz w:val="20"/>
        </w:rPr>
        <w:t>” means US$0.80 per Class A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Nasdaq Stock Market,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and all exhibits and schedules thereto and hereto and any other documents or agreements executed in connection with the transactions contemplated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Transhare Corporation, the current transfer agent of the Company, with a mailing address of Bayside Center 1, 17755 North U.S. Highway 19, Suite #140, Clearwater, FL 33764, and any successor transfer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On the Closing Date, upon the terms and subject to the conditions set forth herein, the Company agrees to issue and sell to the Purchasers, and the Purchasers, severally and not jointly, agree to purchase from the Company, up to an aggregate of 5,000,000 Class A Ordinary Shares at the Subscription Price. At the Closing, the Company shall deliver to each Purchaser its respective Purchased Shares, and the Company and each Purchaser shall deliver the other items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Upon satisfaction of the covenants and conditions set forth in </w:t>
      </w:r>
      <w:r>
        <w:rPr>
          <w:rFonts w:ascii="Times New Roman;Times;Serif" w:hAnsi="Times New Roman;Times;Serif"/>
          <w:b w:val="false"/>
          <w:i w:val="false"/>
          <w:caps w:val="false"/>
          <w:smallCaps w:val="false"/>
          <w:sz w:val="20"/>
          <w:u w:val="single"/>
        </w:rPr>
        <w:t>Sections 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2.3</w:t>
      </w:r>
      <w:r>
        <w:rPr>
          <w:rFonts w:ascii="Times New Roman;Times;Serif" w:hAnsi="Times New Roman;Times;Serif"/>
          <w:b w:val="false"/>
          <w:i w:val="false"/>
          <w:caps w:val="false"/>
          <w:smallCaps w:val="false"/>
          <w:sz w:val="20"/>
        </w:rPr>
        <w:t>, the Closing shall occur remotely via the exchange of documents and signatures, or at such other location or locations as the Parties shall mutually agree. For the avoidance of doubt, all actions at the Closing (including, without limitation, issuance of the Purchased Shares to each Purchasers and payment of the Subscription Amount of each Purchaser) shall be considered part of an integrated transaction, and the Closing shall not occur or to be valid unless all actions to be completed at the Closing are performed and completed together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with all exhibits and schedules thereto duly executed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have provided each Purchaser with wire instructions, on the Company letterhead and executed by the Chief Executive Officer or Chief Financial Officer;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copy of instructions to the Transfer Agent instructing the Transfer Agent to deliver to the Purchaser Shares equal to such Purchaser’s Subscription Amount divided by the Subscription Price, registered in the name of such Purchaser.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with all exhibits and schedules thereto duly executed by such Purchaser;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by wire transfer of immediately available funds to the bank account designated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on the Closing Date of the representations and warranties of each Purchaser contained herein (unless as of a specific date therein in which case they shall be accurate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delivery by each Purchaser of the items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delivery by the Company of the items set forth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 xml:space="preserve"> of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SEC Reports or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xml:space="preserve">.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The Company is not in violation nor default of any of the provisions of its respective certificate or articles of incorporation, bylaws or other organizational or charter documents. The Company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a Material Adverse Effect and, except as disclosed in the SEC Reports or in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xml:space="preserve"> of the Disclosure Schedules, no Proceeding has been instituted in any such jurisdiction revoking, limiting or curtailing or seeking to revoke, limit or curtail such power and authority or qualification.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Purchased Shares and the consummation by it of the transactions contemplated hereby and thereby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give to others any rights of termination, amendment, anti-dilution or similar adjustments, acceleration or cancellation (with or without notice, lapse of time or both) of, any agreement, credit facility, debt or other instrument (evidencing a Company debt or otherwise) or other understanding to which the Company is a party or by which any property or asset of the Company is bound or affected, or (iii) subject to the Required Approvals, conflict with or result in a violation of any law, rule, regulation, order, judgment, injunction, decree or other restriction of any court or Governmental Authority to which the Company is subject (including, without limitation, federal and state securities laws and regulations), or by which any property or asset of the Company is bound or affected; except in the case of each of clauses (ii) and (iii), such as would not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Governmental Authority or other Person in connection with the execution, delivery and performance by the Company of the Transaction Documents, other than any filings as are required to be made under applicable United States federal and state securities laws and applicable rules of the Trading Market, if any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Issuance of the Purchased Shares; Registration</w:t>
      </w:r>
      <w:r>
        <w:rPr>
          <w:rFonts w:ascii="Times New Roman;Times;Serif" w:hAnsi="Times New Roman;Times;Serif"/>
          <w:b w:val="false"/>
          <w:i w:val="false"/>
          <w:caps w:val="false"/>
          <w:smallCaps w:val="false"/>
          <w:sz w:val="20"/>
        </w:rPr>
        <w:t>. The Purchased Shares are duly authorized and, when issued and paid for in accordance with the applicable Transaction Documents, will be duly and validly issued, fully paid and nonassessable, free and clear of all Liens imposed by the Company (other than those arising under state or federal securities laws or the then-currently effective memorandum and articles of association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end of the period covered by its most recently filed periodic report under the Exchange Act was set forth in such periodic report. Except as set forth in </w:t>
      </w:r>
      <w:r>
        <w:rPr>
          <w:rFonts w:ascii="Times New Roman;Times;Serif" w:hAnsi="Times New Roman;Times;Serif"/>
          <w:b w:val="false"/>
          <w:i w:val="false"/>
          <w:caps w:val="false"/>
          <w:smallCaps w:val="false"/>
          <w:sz w:val="20"/>
          <w:u w:val="single"/>
        </w:rPr>
        <w:t>Schedule 3.1(f)</w:t>
      </w:r>
      <w:r>
        <w:rPr>
          <w:rFonts w:ascii="Times New Roman;Times;Serif" w:hAnsi="Times New Roman;Times;Serif"/>
          <w:b w:val="false"/>
          <w:i w:val="false"/>
          <w:caps w:val="false"/>
          <w:smallCaps w:val="false"/>
          <w:sz w:val="20"/>
        </w:rPr>
        <w:t xml:space="preserve"> of the Disclosure Schedules, the Company has not issued any securities since its most recently filed periodic report under the Exchange Act, other than pursuant to the exercise of employee stock options under the Company’s stock option plans, the issuance of Class A Ordinary Shares to employees pursuant to the Company’s employee stock purchase plans and pursuant to the conversion and/or exercise of Ordinary Shares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w:t>
      </w:r>
      <w:r>
        <w:rPr>
          <w:rFonts w:ascii="Times New Roman;Times;Serif" w:hAnsi="Times New Roman;Times;Serif"/>
          <w:b w:val="false"/>
          <w:i w:val="false"/>
          <w:caps w:val="false"/>
          <w:smallCaps w:val="false"/>
          <w:sz w:val="20"/>
          <w:u w:val="single"/>
        </w:rPr>
        <w:t>Schedule 3.1(f)</w:t>
      </w:r>
      <w:r>
        <w:rPr>
          <w:rFonts w:ascii="Times New Roman;Times;Serif" w:hAnsi="Times New Roman;Times;Serif"/>
          <w:b w:val="false"/>
          <w:i w:val="false"/>
          <w:caps w:val="false"/>
          <w:smallCaps w:val="false"/>
          <w:sz w:val="20"/>
        </w:rPr>
        <w:t xml:space="preserve"> of the Disclosure Schedules, except for options granted under the Company’s stock option plans and other than pursuant to the conversion and/or exercise of Class A Ordinary Shares equivalent outstanding disclosed in the Company’s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Class A Ordinary Shares, or contracts, commitments, understandings or arrangements by which the Company is or may become bound to issue additional Class A Ordinary Shares or Ordinary Shares Equivalents. The issuance and sale of the Purchased Shares will not obligate the Company or to issue Class A Ordinary Shares or other securities to any Person (other than the Purchasers). Except as set forth in </w:t>
      </w:r>
      <w:r>
        <w:rPr>
          <w:rFonts w:ascii="Times New Roman;Times;Serif" w:hAnsi="Times New Roman;Times;Serif"/>
          <w:b w:val="false"/>
          <w:i w:val="false"/>
          <w:caps w:val="false"/>
          <w:smallCaps w:val="false"/>
          <w:sz w:val="20"/>
          <w:u w:val="single"/>
        </w:rPr>
        <w:t>Schedule 3.1(f)</w:t>
      </w:r>
      <w:r>
        <w:rPr>
          <w:rFonts w:ascii="Times New Roman;Times;Serif" w:hAnsi="Times New Roman;Times;Serif"/>
          <w:b w:val="false"/>
          <w:i w:val="false"/>
          <w:caps w:val="false"/>
          <w:smallCaps w:val="false"/>
          <w:sz w:val="20"/>
        </w:rPr>
        <w:t xml:space="preserve"> of the Disclosure Schedules, there are no outstanding securities or instruments of the Company with any provision that adjusts the exercise, conversion, exchange or reset price of such security or instrument upon an issuance of securities by the Company. There are no outstanding securities or instruments of the Company that contain any redemption or similar provisions, and there are no contracts, commitments, understandings or arrangements by which the Company is or may become bound to redeem a security of the Company. The Company does not have any stock appreciation rights or “phantom stock” plans or agreements or any similar plan or agreement. All of the outstanding share capital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the Board of Directors or others is required for the issuance and sale of the Purchased Shares, except for the Required Approvals. There are no shareholder agreements, voting agreements or other similar agreements with respect to the Company’s share capital to which the Company is a party or, to the knowledge of the Company, between or among any of the Company’s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without limitation, pursuant to Section 13(a) or 15(d) thereof, for the two years preceding the date hereof (or such shorter period as the Company was required by law or regulation to file such material) (the foregoing materials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in the SEC Reports or in </w:t>
      </w:r>
      <w:r>
        <w:rPr>
          <w:rFonts w:ascii="Times New Roman;Times;Serif" w:hAnsi="Times New Roman;Times;Serif"/>
          <w:b w:val="false"/>
          <w:i w:val="false"/>
          <w:caps w:val="false"/>
          <w:smallCaps w:val="false"/>
          <w:sz w:val="20"/>
          <w:u w:val="single"/>
        </w:rPr>
        <w:t>Schedule 3.1(h)</w:t>
      </w:r>
      <w:r>
        <w:rPr>
          <w:rFonts w:ascii="Times New Roman;Times;Serif" w:hAnsi="Times New Roman;Times;Serif"/>
          <w:b w:val="false"/>
          <w:i w:val="false"/>
          <w:caps w:val="false"/>
          <w:smallCaps w:val="false"/>
          <w:sz w:val="20"/>
        </w:rPr>
        <w:t xml:space="preserve"> of the Disclosure Schedules, there is no action, suit, inquiry, notice of violation, proceeding or investigation pending or, to the knowledge of the Company, threatened against or affecting the Company, before or by any court, arbitrator, governmental or administrative agency or regulatory authority (whether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that (i) adversely affects or challenges the legality, validity or enforceability of any of the Transaction Documents or the Purchased Shares or (ii) would, if there were an unfavorable decision, have or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disclosed in the SEC Reports. The Company understands and confirms that the Purchasers will rely on the foregoing representation in effecting transactions in securities of the Company. All of the disclosure furnished by or on behalf of the Company to the Purchasers regarding the Company, its businesses and the transactions contemplated hereby, including any Disclosure Schedules to this Agreement and the SEC Reports, is, to the best knowledge of the Company,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with the SEC Reports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Each certificate or book-entry statement representing the Purchased Shares shall be endorsed with the following legends, in addition to any other legend required to be placed thereon by applicable federal or state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26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ARE BEING OFFERED TO INVESTORS WHO ARE NOT U.S. PERSONS (AS DEFINED IN REGULATION S UNDER THE SECURITIES ACT OF 1933, AS AMENDED (“THE SECURITIES ACT”)) AND WITHOUT REGISTRATION WITH THE UNITED STATES SECURITIES AND EXCHANGE COMMISSION UNDER THE SECURITIES ACT IN RELIANCE UPON REGULATION S PROMULGATED UNDER THE SECURITIES ACT.”</w:t>
      </w:r>
    </w:p>
    <w:p>
      <w:pPr>
        <w:pStyle w:val="TextBody"/>
        <w:bidi w:val="0"/>
        <w:spacing w:before="0" w:after="0"/>
        <w:ind w:left="1260" w:right="0" w:firstLine="720"/>
        <w:jc w:val="both"/>
        <w:rPr>
          <w:caps w:val="false"/>
          <w:smallCaps w:val="false"/>
        </w:rPr>
      </w:pPr>
      <w:r>
        <w:rPr>
          <w:caps w:val="false"/>
          <w:smallCaps w:val="false"/>
        </w:rPr>
        <w:t> </w:t>
      </w:r>
    </w:p>
    <w:p>
      <w:pPr>
        <w:pStyle w:val="TextBody"/>
        <w:bidi w:val="0"/>
        <w:spacing w:before="0" w:after="0"/>
        <w:ind w:left="12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260" w:right="0" w:firstLine="720"/>
        <w:jc w:val="both"/>
        <w:rPr>
          <w:caps w:val="false"/>
          <w:smallCaps w:val="false"/>
        </w:rPr>
      </w:pPr>
      <w:r>
        <w:rPr>
          <w:caps w:val="false"/>
          <w:smallCaps w:val="false"/>
        </w:rPr>
        <w:t> </w:t>
      </w:r>
    </w:p>
    <w:p>
      <w:pPr>
        <w:pStyle w:val="TextBody"/>
        <w:bidi w:val="0"/>
        <w:spacing w:before="0" w:after="0"/>
        <w:ind w:left="126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TRANSFER OF THESE SECURITIES IS PROHIBITED, EXCEPT IN ACCORDANCE WITH THE PROVISIONS OF REGULATION S, PURSUANT TO REGISTRATION UNDER THE SECURITIES ACT, OR PURSUANT TO AN AVAILABLE EXEMPTION FROM REGISTRATION. HEDGING TRANSACTIONS MAY NOT BE CONDUCTED UNLESS IN COMPLIANCE WITH THE SECURITIES ACT.”</w:t>
      </w:r>
    </w:p>
    <w:p>
      <w:pPr>
        <w:pStyle w:val="TextBody"/>
        <w:bidi w:val="0"/>
        <w:spacing w:before="0" w:after="0"/>
        <w:ind w:left="12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Purchaser consents to the Company making a notation in its records or giving instructions to Transfer Agent in order to implement the restrictions on transfer of the Purchased Shares set forth in this </w:t>
      </w:r>
      <w:r>
        <w:rPr>
          <w:rFonts w:ascii="Times New Roman;Times;Serif" w:hAnsi="Times New Roman;Times;Serif"/>
          <w:b w:val="false"/>
          <w:i w:val="false"/>
          <w:caps w:val="false"/>
          <w:smallCaps w:val="false"/>
          <w:sz w:val="20"/>
          <w:u w:val="single"/>
        </w:rPr>
        <w:t>Section 3.1(j)</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such Purchaser is a party has been duly executed by such Purchaser, and when delivered by such Purchaser in accordance with the terms hereof, will constitute the valid and legally binding obligation of such Purchaser, enforceable against such Purchaser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Registration</w:t>
      </w:r>
      <w:r>
        <w:rPr>
          <w:rFonts w:ascii="Times New Roman;Times;Serif" w:hAnsi="Times New Roman;Times;Serif"/>
          <w:b w:val="false"/>
          <w:i w:val="false"/>
          <w:caps w:val="false"/>
          <w:smallCaps w:val="false"/>
          <w:sz w:val="20"/>
        </w:rPr>
        <w:t>. Such Purchaser is aware that the sale of the Purchased Shares and the Warrants has not been registered under the Securities Act, or any state securities laws or regulations in reliance upon the exemption set forth in Section 4(2) of the Securities Act and the safe harbor set forth in Regulation S that provides that certain offerings conducted outside the United States of America are not subject to the registration requirements of the Securities Act, and similar exemptions under state law. The Purchaser will not offer, sell or otherwise transfer the Purchased Shares unless they are registered or are exempt from registration under the Securities Act and any applicable state securities laws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Purchased Shares as principal for its own account and has no direct or indirect arrangement or understandings with any other persons to distribute or regarding the distribution of such Purchased Shares. Such Purchaser is acquiring the Purchased Shares hereunder in the ordinary course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Foreign Investor Compliance</w:t>
      </w:r>
      <w:r>
        <w:rPr>
          <w:rFonts w:ascii="Times New Roman;Times;Serif" w:hAnsi="Times New Roman;Times;Serif"/>
          <w:b w:val="false"/>
          <w:i w:val="false"/>
          <w:caps w:val="false"/>
          <w:smallCaps w:val="false"/>
          <w:sz w:val="20"/>
        </w:rPr>
        <w:t>. Such Purchaser hereby represents that he or she or it has satisfied itself as to the full observance by the Purchaser of the laws of its jurisdiction applicable to the Purchaser in connection with the purchase of the Purchased Shares or the execution and delivery by the Purchaser of this Agreement and the Transaction Documents, including, without limitation, (i) the legal requirements within its jurisdiction for the purchase of the Purchased Shares, (ii) any foreign exchange restrictions applicable to the purchase, (iii) any governmental or other consents that may need to be obtained, and (iv) the income tax and other tax consequences, if any, that may be relevant to the Purchaser’s purchase, holding, redemption, sale, or transfer of the Purchased Shares. The Purchaser’s subscription and payment for, and continued beneficial ownership of, the Purchased Shares will not violate any securities law or other laws of the Purchaser’s jurisdiction applicable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The Purchaser is a non-U.S. person (as such term is defined in Rule 902 of Regulation S) and is not acquiring the Purchased Shares for the account or benefit of a U.S. person. The Purchaser will not, within six (6) months of the date of the transfer of the Purchased Shares to the Purchaser, (i) make any offers or sales of the Purchased Shares in the United States or to, or for the benefit of, a U.S. person (in each case, as defined in Regulation S) other than in accordance with Regulation S or another exemption from the registration requirements of the Securities Act, or (ii) engage in hedging transactions with regard to the Purchased Shares unless in compliance with the Securities Act. Neither the Purchaser nor any of the Purchaser’s Affiliates or any person acting on his/her or their behalf has engaged or will engage in directed selling efforts (within the meaning of Regulation S) with respect to the Purchased Shares, and all such persons have complied and will comply with the offering restriction requirements of Regulation S in connection with the offering of the Purchased Shares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Purchased Shares, and has so evaluated the merits and risks of such investment. Such Purchaser is able to bear the economic risk of an investment in the Purchased Shares and, at the present time, is able to afford a complete loss of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without limitation, all exhibits and schedules thereto) and the SEC Reports and has been afforded, (i) the opportunity to ask such questions as it has deemed necessary of, and to receive answers from, representatives of the Company concerning the terms and conditions of the offering of the Purchased Shares and the merits and risks of investing in the Purchased Shares; (ii) access to information about the Company and its financial condition, results of operations, business, properties, management and prospects sufficient to enable it to evaluate its investment; (iii) the opportunity to obtain such additional information that the Company possesses or can acquire without unreasonable effort or expense that is necessary to make an informed investment decision with respect to the investment; and (iv) the opportunity to consult such professionals, including, without limitation, such Purchaser’s legal counsel, as such Purchaser deemed fit. No representations, assurances or warranties have been made to such Purchaser, or any of his advisers or affiliates, by the Company or by any of its respective officers, directors, agents, employees or Affiliates, nor anyone else on their behalf, concerning, among others, the future profitability of the Company or the Purchaser’s investment in it, and in entering into this transaction such Purchaser is not relying upon any information, other than the results of his, or his advisers’ or Affiliates’, own independent investigation.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without limitation,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Purchased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without limitation,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 OF THE PARTIES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Current Report on Form 6-K with the Commission within the time required by the Exchange Act.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or Trading Market regulations,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notice of such disclosure permitted under this sub-clause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currently intends to use the net proceeds from the sale of the Purchased Shares hereunder for general corporate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xml:space="preserve">. Each Purchaser, severally and not jointly with the other Purchasers, covenants that neither it nor any Affiliate acting on its behalf or pursuant to any understanding with it will execute any purchases or sales, including, without limitation,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Each Purchaser, severally and not jointly with the other Purchasers, covenants that until such time as the transactions contemplated by this Agreement are publicly disclosed by the Company pursuant to the initial press release as described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such Purchaser will maintain the confidentiality of the existence and terms of this transaction and the information included in the Disclosure Schedules.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Purchased Shares covered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the Company or any Purchaser, as to such Purchaser’s obligations hereunder only and without any effect whatsoever on the obligations between the Company and the other Purchasers, by written notice to the other party(ies), if the Closing has not been consummated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following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Agent’s fees (including, without limitation, any fees required for same-day processing of any instruction letter delivered by the Company) in connection with the delivery of any Purchased Share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facsimile or email attachment at the facsimile number or email address as set forth on the signature pages attached hereto at or prior to 5:30 p.m. (New York City time) on a Trading Day, (b) the next Trading Day after the time of transmission, if such notice or communication is delivered via facsimile or email attachment at the facsimile number or email address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the Company shall simultaneously file such notice with the Commission pursuant to a Current Report on Form 6-K.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xml:space="preserve">. No provision of this Agreement may be waived, modified, supplemented or amended except in a written instrument signed, in the case of an amendment, by the Company and the Purchasers which purchased at least 50.1% in interest of the Purchased Shares based on the initial Subscription Amounts hereunder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w:t>
      </w:r>
      <w:r>
        <w:rPr>
          <w:rFonts w:ascii="Times New Roman;Times;Serif" w:hAnsi="Times New Roman;Times;Serif"/>
          <w:b w:val="false"/>
          <w:i w:val="false"/>
          <w:caps w:val="false"/>
          <w:smallCaps w:val="false"/>
          <w:sz w:val="20"/>
          <w:u w:val="single"/>
        </w:rPr>
        <w:t>Section 5.5</w:t>
      </w:r>
      <w:r>
        <w:rPr>
          <w:rFonts w:ascii="Times New Roman;Times;Serif" w:hAnsi="Times New Roman;Times;Serif"/>
          <w:b w:val="false"/>
          <w:i w:val="false"/>
          <w:caps w:val="false"/>
          <w:smallCaps w:val="false"/>
          <w:sz w:val="20"/>
        </w:rPr>
        <w:t xml:space="preserve"> shall be binding upon each Purchaser and holder of Purchased Shares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No Purchaser may assign this Agreement or any rights or obligations hereunder without the prior written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 xml:space="preserve">No Third-Party Beneficiaries. </w:t>
      </w:r>
      <w:r>
        <w:rPr>
          <w:rFonts w:ascii="Times New Roman;Times;Serif" w:hAnsi="Times New Roman;Times;Serif"/>
          <w:b w:val="false"/>
          <w:i w:val="false"/>
          <w:caps w:val="false"/>
          <w:smallCaps w:val="false"/>
          <w:sz w:val="20"/>
        </w:rPr>
        <w:t>This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Hong Kong, without regard to the principles of conflicts of law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Dispute Resolutions</w:t>
      </w:r>
      <w:r>
        <w:rPr>
          <w:rFonts w:ascii="Times New Roman;Times;Serif" w:hAnsi="Times New Roman;Times;Serif"/>
          <w:b w:val="false"/>
          <w:i w:val="false"/>
          <w:caps w:val="false"/>
          <w:smallCaps w:val="false"/>
          <w:sz w:val="20"/>
        </w:rPr>
        <w:t>. All disputes, actions and proceedings arising out of or relating to this Agreement shall be referred to and finally resolved by arbitration in Hong Kong under the UNCITRAL Arbitration Rules in accordance with the Hong Kong International Arbitration Centre (“</w:t>
      </w:r>
      <w:r>
        <w:rPr>
          <w:rFonts w:ascii="Times New Roman;Times;Serif" w:hAnsi="Times New Roman;Times;Serif"/>
          <w:b w:val="false"/>
          <w:i w:val="false"/>
          <w:caps w:val="false"/>
          <w:smallCaps w:val="false"/>
          <w:sz w:val="20"/>
          <w:u w:val="single"/>
        </w:rPr>
        <w:t>HKIAC</w:t>
      </w:r>
      <w:r>
        <w:rPr>
          <w:rFonts w:ascii="Times New Roman;Times;Serif" w:hAnsi="Times New Roman;Times;Serif"/>
          <w:b w:val="false"/>
          <w:i w:val="false"/>
          <w:caps w:val="false"/>
          <w:smallCaps w:val="false"/>
          <w:sz w:val="20"/>
        </w:rPr>
        <w:t xml:space="preserve">”) Procedures for the Administration of International Arbitration in force at the date of this Agreement which rules are deemed to be incorporated by reference in this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 The place of the arbitration shall be Hong Kong and the language of the arbitration shall be English. The appointing authority shall be the HKIAC. There shall be one arbitrator agreed to by the Company and the Purchaser, and if they cannot so agree on such arbitrator within five (5) Business Days of the commencement of the notice of arbitration proceedings, three arbitrators shall be appointed. In such case, two (2) of the arbitrators shall be nominated by the respective Parties, and if either Party shall abstain from nominating its arbitrator, the HKIAC shall appoint such arbitrator. The two arbitrators so chosen shall select a third arbitrator; provided that, if such two arbitrators shall fail to choose a third arbitrator within thirty (30) days after such two arbitrators have been selected, the HKIAC, upon the request of either Party, shall appoint a third arbitrator. The third arbitrator shall be the presiding arbitrator. The arbitration shall be conducted in private. Each Party agrees that all documents and evidence submitted in the arbitration (including, without limitation, any statements of case and any interim or final award, as well as the fact that an arbitral award has been made) shall remain confidential both during and after any final award that is rendered unless the Parties otherwise agree in writing. The arbitral award shall be final and binding upon all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or any electronic signature complying with the U.S. federal ESIGN Act of 2000, the Uniform Electronic Transactions Act, or other applicable law (e.g., www.docusign.com), such signature shall create a valid and binding obligation of the party executing (or on whose behalf such signature is executed) with the same force and effect as if such facsimile, “.pdf,” or electronic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or arbitral tribunal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number of Class A Ordinary Shares in any Transaction Document shall be subject to adjustment for reverse and forward stock splits, stock dividends, stock combinations and other similar transactions of the Class A Ordinary Shares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1265"/>
        <w:gridCol w:w="2384"/>
        <w:gridCol w:w="75"/>
      </w:tblGrid>
      <w:tr>
        <w:trPr/>
        <w:tc>
          <w:tcPr>
            <w:tcW w:w="3649" w:type="dxa"/>
            <w:gridSpan w:val="2"/>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CHANSON INTERNATIONAL HOLDING</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84" w:type="dxa"/>
            <w:tcBorders>
              <w:bottom w:val="single" w:sz="8" w:space="0" w:color="000000"/>
            </w:tcBorders>
            <w:tcMar>
              <w:bottom w:w="30"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8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8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B9 Xinjiang Chuangbo Zhigu Industrial Park</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100 Guangyuan Road, Shuimogou District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Urumqi, Xinjiang, China 830017</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2206-19 Jardine House, 1 Connaught Place, Hong Kong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Henry Yin; Benjamin Yao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henry.yin@loeb.com; byao@loeb.com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PURCHASER:</w:t>
      </w:r>
    </w:p>
    <w:p>
      <w:pPr>
        <w:pStyle w:val="TextBody"/>
        <w:bidi w:val="0"/>
        <w:spacing w:before="0" w:after="0"/>
        <w:ind w:left="0" w:right="0" w:hanging="0"/>
        <w:jc w:val="left"/>
        <w:rPr>
          <w:caps w:val="false"/>
          <w:smallCaps w:val="false"/>
        </w:rPr>
      </w:pPr>
      <w:r>
        <w:rPr>
          <w:caps w:val="false"/>
          <w:smallCaps w:val="false"/>
        </w:rPr>
        <w:t> </w:t>
      </w:r>
    </w:p>
    <w:tbl>
      <w:tblPr>
        <w:tblW w:w="2359" w:type="dxa"/>
        <w:jc w:val="left"/>
        <w:tblInd w:w="0" w:type="dxa"/>
        <w:tblLayout w:type="fixed"/>
        <w:tblCellMar>
          <w:top w:w="0" w:type="dxa"/>
          <w:left w:w="0" w:type="dxa"/>
          <w:bottom w:w="0" w:type="dxa"/>
          <w:right w:w="0" w:type="dxa"/>
        </w:tblCellMar>
      </w:tblPr>
      <w:tblGrid>
        <w:gridCol w:w="75"/>
        <w:gridCol w:w="800"/>
        <w:gridCol w:w="1484"/>
      </w:tblGrid>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[NAME OF PURCHASER]</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84"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4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4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sz w:val="20"/>
              </w:rPr>
            </w:pPr>
            <w:r>
              <w:rPr>
                <w:sz w:val="20"/>
              </w:rPr>
              <w:t>Address for notice</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sz w:val="20"/>
              </w:rPr>
            </w:pPr>
            <w:r>
              <w:rPr>
                <w:sz w:val="20"/>
              </w:rPr>
              <w:t>Attention:</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sz w:val="20"/>
              </w:rPr>
            </w:pPr>
            <w:r>
              <w:rPr>
                <w:sz w:val="20"/>
              </w:rPr>
              <w:t xml:space="preserve">Address: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4" w:type="dxa"/>
            <w:gridSpan w:val="2"/>
            <w:tcBorders/>
            <w:vAlign w:val="center"/>
          </w:tcPr>
          <w:p>
            <w:pPr>
              <w:pStyle w:val="TableContents"/>
              <w:bidi w:val="0"/>
              <w:spacing w:before="0" w:after="283"/>
              <w:jc w:val="left"/>
              <w:rPr>
                <w:sz w:val="20"/>
              </w:rPr>
            </w:pPr>
            <w:r>
              <w:rPr>
                <w:sz w:val="20"/>
              </w:rPr>
              <w:t>E-mail:</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PURCHASERS AND PURCHASED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SCHEDULES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5349/000121390025065280/ea0249173-s8_chanson.htm" TargetMode="External"/><Relationship Id="rId3" Type="http://schemas.openxmlformats.org/officeDocument/2006/relationships/hyperlink" Target="http://www.sec.gov/Archives/edgar/data/1825349/000121390025076637/ea0253250-f3_chanson.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8518</Words>
  <Characters>45782</Characters>
  <CharactersWithSpaces>54398</CharactersWithSpaces>
  <Paragraphs>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